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14FA" w:rsidRDefault="00103BDB">
      <w:r>
        <w:rPr>
          <w:noProof/>
          <w:lang w:eastAsia="ru-RU"/>
        </w:rPr>
        <w:drawing>
          <wp:inline distT="0" distB="0" distL="0" distR="0">
            <wp:extent cx="5940425" cy="8377370"/>
            <wp:effectExtent l="0" t="0" r="3175" b="5080"/>
            <wp:docPr id="1" name="Рисунок 1" descr="C:\Users\Filippova_mg\Desktop\Рамки 72694,30\титул.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ilippova_mg\Desktop\Рамки 72694,30\титул.t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0425" cy="8377370"/>
                    </a:xfrm>
                    <a:prstGeom prst="rect">
                      <a:avLst/>
                    </a:prstGeom>
                    <a:noFill/>
                    <a:ln>
                      <a:noFill/>
                    </a:ln>
                  </pic:spPr>
                </pic:pic>
              </a:graphicData>
            </a:graphic>
          </wp:inline>
        </w:drawing>
      </w:r>
    </w:p>
    <w:p w:rsidR="00103BDB" w:rsidRDefault="00103BDB"/>
    <w:p w:rsidR="00103BDB" w:rsidRDefault="00103BDB"/>
    <w:tbl>
      <w:tblPr>
        <w:tblW w:w="10490" w:type="dxa"/>
        <w:tblInd w:w="-552" w:type="dxa"/>
        <w:tblLayout w:type="fixed"/>
        <w:tblCellMar>
          <w:top w:w="15" w:type="dxa"/>
          <w:left w:w="15" w:type="dxa"/>
          <w:bottom w:w="15" w:type="dxa"/>
          <w:right w:w="15" w:type="dxa"/>
        </w:tblCellMar>
        <w:tblLook w:val="0600" w:firstRow="0" w:lastRow="0" w:firstColumn="0" w:lastColumn="0" w:noHBand="1" w:noVBand="1"/>
      </w:tblPr>
      <w:tblGrid>
        <w:gridCol w:w="1276"/>
        <w:gridCol w:w="2693"/>
        <w:gridCol w:w="6521"/>
      </w:tblGrid>
      <w:tr w:rsidR="00103BDB" w:rsidRPr="00862265" w:rsidTr="00C5397F">
        <w:trPr>
          <w:trHeight w:val="612"/>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lastRenderedPageBreak/>
              <w:t>№</w:t>
            </w:r>
          </w:p>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пункта</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color w:val="000000"/>
                <w:sz w:val="24"/>
                <w:szCs w:val="24"/>
              </w:rPr>
            </w:pPr>
            <w:r w:rsidRPr="00862265">
              <w:rPr>
                <w:rFonts w:ascii="PT Astra Serif" w:eastAsia="Times New Roman" w:hAnsi="PT Astra Serif" w:cs="Times New Roman"/>
                <w:b/>
                <w:color w:val="000000"/>
                <w:sz w:val="24"/>
                <w:szCs w:val="24"/>
              </w:rPr>
              <w:t>Наименование</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center"/>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Информация</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Заказчик</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b/>
                <w:sz w:val="24"/>
                <w:szCs w:val="24"/>
              </w:rPr>
            </w:pPr>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 xml:space="preserve">Наименование: Администрация города </w:t>
            </w:r>
            <w:proofErr w:type="spellStart"/>
            <w:r w:rsidRPr="00862265">
              <w:rPr>
                <w:rFonts w:ascii="PT Astra Serif" w:eastAsia="Times New Roman" w:hAnsi="PT Astra Serif" w:cs="Times New Roman"/>
                <w:b/>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нахождение:</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spacing w:after="0"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Почтовый адрес:</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spacing w:after="0" w:line="240" w:lineRule="auto"/>
              <w:jc w:val="both"/>
              <w:rPr>
                <w:rFonts w:ascii="PT Astra Serif" w:eastAsia="Times New Roman" w:hAnsi="PT Astra Serif" w:cs="Times New Roman"/>
                <w:b/>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nikulina</w:t>
            </w:r>
            <w:proofErr w:type="spellEnd"/>
            <w:r w:rsidRPr="00862265">
              <w:rPr>
                <w:rFonts w:ascii="PT Astra Serif" w:eastAsia="Times New Roman" w:hAnsi="PT Astra Serif" w:cs="Times New Roman"/>
                <w:sz w:val="24"/>
                <w:szCs w:val="24"/>
              </w:rPr>
              <w:t>_</w:t>
            </w:r>
            <w:proofErr w:type="spellStart"/>
            <w:r w:rsidRPr="00862265">
              <w:rPr>
                <w:rFonts w:ascii="PT Astra Serif" w:eastAsia="Times New Roman" w:hAnsi="PT Astra Serif" w:cs="Times New Roman"/>
                <w:sz w:val="24"/>
                <w:szCs w:val="24"/>
                <w:lang w:val="en-US"/>
              </w:rPr>
              <w:t>oa</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Номер контактного телефона:</w:t>
            </w:r>
            <w:r w:rsidRPr="00862265">
              <w:rPr>
                <w:rFonts w:ascii="PT Astra Serif" w:eastAsia="Times New Roman" w:hAnsi="PT Astra Serif" w:cs="Times New Roman"/>
                <w:sz w:val="24"/>
                <w:szCs w:val="24"/>
              </w:rPr>
              <w:t xml:space="preserve"> 8 (34675) 5-00-47.</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xml:space="preserve"> главный эксперт Никулина Оксана Александровна.</w:t>
            </w:r>
          </w:p>
        </w:tc>
      </w:tr>
      <w:tr w:rsidR="00103BDB" w:rsidRPr="00862265" w:rsidTr="00C5397F">
        <w:trPr>
          <w:trHeight w:val="2343"/>
        </w:trPr>
        <w:tc>
          <w:tcPr>
            <w:tcW w:w="1276" w:type="dxa"/>
            <w:tcBorders>
              <w:top w:val="single" w:sz="6" w:space="0" w:color="000000"/>
              <w:left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2</w:t>
            </w:r>
          </w:p>
        </w:tc>
        <w:tc>
          <w:tcPr>
            <w:tcW w:w="2693" w:type="dxa"/>
            <w:tcBorders>
              <w:top w:val="single" w:sz="6" w:space="0" w:color="000000"/>
              <w:left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bCs/>
                <w:color w:val="000000"/>
                <w:sz w:val="24"/>
                <w:szCs w:val="24"/>
                <w:lang w:val="en-US"/>
              </w:rPr>
              <w:t>Уполномоченный</w:t>
            </w:r>
            <w:proofErr w:type="spellEnd"/>
            <w:r w:rsidRPr="00862265">
              <w:rPr>
                <w:rFonts w:ascii="PT Astra Serif" w:eastAsia="Times New Roman" w:hAnsi="PT Astra Serif" w:cs="Times New Roman"/>
                <w:bCs/>
                <w:color w:val="000000"/>
                <w:sz w:val="24"/>
                <w:szCs w:val="24"/>
                <w:lang w:val="en-US"/>
              </w:rPr>
              <w:t xml:space="preserve"> </w:t>
            </w:r>
            <w:proofErr w:type="spellStart"/>
            <w:r w:rsidRPr="00862265">
              <w:rPr>
                <w:rFonts w:ascii="PT Astra Serif" w:eastAsia="Times New Roman" w:hAnsi="PT Astra Serif" w:cs="Times New Roman"/>
                <w:bCs/>
                <w:color w:val="000000"/>
                <w:sz w:val="24"/>
                <w:szCs w:val="24"/>
                <w:lang w:val="en-US"/>
              </w:rPr>
              <w:t>орган</w:t>
            </w:r>
            <w:proofErr w:type="spellEnd"/>
            <w:r w:rsidRPr="00862265">
              <w:rPr>
                <w:rFonts w:ascii="PT Astra Serif" w:eastAsia="Times New Roman" w:hAnsi="PT Astra Serif" w:cs="Times New Roman"/>
                <w:bCs/>
                <w:color w:val="000000"/>
                <w:sz w:val="24"/>
                <w:szCs w:val="24"/>
                <w:lang w:val="en-US"/>
              </w:rPr>
              <w:t xml:space="preserve"> </w:t>
            </w:r>
          </w:p>
        </w:tc>
        <w:tc>
          <w:tcPr>
            <w:tcW w:w="6521" w:type="dxa"/>
            <w:tcBorders>
              <w:top w:val="single" w:sz="6" w:space="0" w:color="000000"/>
              <w:left w:val="single" w:sz="6" w:space="0" w:color="000000"/>
              <w:right w:val="single" w:sz="6" w:space="0" w:color="000000"/>
            </w:tcBorders>
            <w:tcMar>
              <w:top w:w="75" w:type="dxa"/>
              <w:left w:w="75" w:type="dxa"/>
              <w:bottom w:w="75" w:type="dxa"/>
              <w:right w:w="75" w:type="dxa"/>
            </w:tcMar>
          </w:tcPr>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Наименование</w:t>
            </w:r>
            <w:r w:rsidRPr="00862265">
              <w:rPr>
                <w:rFonts w:ascii="PT Astra Serif" w:eastAsia="Times New Roman" w:hAnsi="PT Astra Serif" w:cs="Times New Roman"/>
                <w:sz w:val="24"/>
                <w:szCs w:val="24"/>
              </w:rPr>
              <w:t xml:space="preserve">: Администрация города </w:t>
            </w:r>
            <w:proofErr w:type="spellStart"/>
            <w:r w:rsidRPr="00862265">
              <w:rPr>
                <w:rFonts w:ascii="PT Astra Serif" w:eastAsia="Times New Roman" w:hAnsi="PT Astra Serif" w:cs="Times New Roman"/>
                <w:sz w:val="24"/>
                <w:szCs w:val="24"/>
              </w:rPr>
              <w:t>Югорска</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proofErr w:type="gramStart"/>
            <w:r w:rsidRPr="00862265">
              <w:rPr>
                <w:rFonts w:ascii="PT Astra Serif" w:eastAsia="Times New Roman" w:hAnsi="PT Astra Serif" w:cs="Times New Roman"/>
                <w:b/>
                <w:sz w:val="24"/>
                <w:szCs w:val="24"/>
              </w:rPr>
              <w:t>Место нахождения</w:t>
            </w:r>
            <w:r w:rsidRPr="00862265">
              <w:rPr>
                <w:rFonts w:ascii="PT Astra Serif" w:eastAsia="Times New Roman" w:hAnsi="PT Astra Serif" w:cs="Times New Roman"/>
                <w:sz w:val="24"/>
                <w:szCs w:val="24"/>
              </w:rPr>
              <w:t xml:space="preserve">: 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xml:space="preserve">, ул. 40 лет Победы, 11, </w:t>
            </w:r>
            <w:proofErr w:type="spellStart"/>
            <w:r w:rsidRPr="00862265">
              <w:rPr>
                <w:rFonts w:ascii="PT Astra Serif" w:eastAsia="Times New Roman" w:hAnsi="PT Astra Serif" w:cs="Times New Roman"/>
                <w:sz w:val="24"/>
                <w:szCs w:val="24"/>
              </w:rPr>
              <w:t>каб</w:t>
            </w:r>
            <w:proofErr w:type="spellEnd"/>
            <w:r w:rsidRPr="00862265">
              <w:rPr>
                <w:rFonts w:ascii="PT Astra Serif" w:eastAsia="Times New Roman" w:hAnsi="PT Astra Serif" w:cs="Times New Roman"/>
                <w:sz w:val="24"/>
                <w:szCs w:val="24"/>
              </w:rPr>
              <w:t>. 310.</w:t>
            </w:r>
            <w:proofErr w:type="gramEnd"/>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 </w:t>
            </w:r>
            <w:proofErr w:type="gramStart"/>
            <w:r w:rsidRPr="00862265">
              <w:rPr>
                <w:rFonts w:ascii="PT Astra Serif" w:eastAsia="Times New Roman" w:hAnsi="PT Astra Serif" w:cs="Times New Roman"/>
                <w:b/>
                <w:sz w:val="24"/>
                <w:szCs w:val="24"/>
              </w:rPr>
              <w:t xml:space="preserve">Почтовый адрес: </w:t>
            </w:r>
            <w:r w:rsidRPr="00862265">
              <w:rPr>
                <w:rFonts w:ascii="PT Astra Serif" w:eastAsia="Times New Roman" w:hAnsi="PT Astra Serif" w:cs="Times New Roman"/>
                <w:sz w:val="24"/>
                <w:szCs w:val="24"/>
              </w:rPr>
              <w:t xml:space="preserve">628260, Ханты - Мансийский автономный округ - Югра, Тюменская обл., </w:t>
            </w:r>
            <w:r w:rsidRPr="00862265">
              <w:rPr>
                <w:rFonts w:ascii="PT Astra Serif" w:eastAsia="Times New Roman" w:hAnsi="PT Astra Serif" w:cs="Times New Roman"/>
                <w:sz w:val="24"/>
                <w:szCs w:val="24"/>
                <w:lang w:val="en-US"/>
              </w:rPr>
              <w:t> </w:t>
            </w:r>
            <w:r w:rsidRPr="00862265">
              <w:rPr>
                <w:rFonts w:ascii="PT Astra Serif" w:eastAsia="Times New Roman" w:hAnsi="PT Astra Serif" w:cs="Times New Roman"/>
                <w:sz w:val="24"/>
                <w:szCs w:val="24"/>
              </w:rPr>
              <w:t xml:space="preserve">г. </w:t>
            </w:r>
            <w:proofErr w:type="spellStart"/>
            <w:r w:rsidRPr="00862265">
              <w:rPr>
                <w:rFonts w:ascii="PT Astra Serif" w:eastAsia="Times New Roman" w:hAnsi="PT Astra Serif" w:cs="Times New Roman"/>
                <w:sz w:val="24"/>
                <w:szCs w:val="24"/>
              </w:rPr>
              <w:t>Югорск</w:t>
            </w:r>
            <w:proofErr w:type="spellEnd"/>
            <w:r w:rsidRPr="00862265">
              <w:rPr>
                <w:rFonts w:ascii="PT Astra Serif" w:eastAsia="Times New Roman" w:hAnsi="PT Astra Serif" w:cs="Times New Roman"/>
                <w:sz w:val="24"/>
                <w:szCs w:val="24"/>
              </w:rPr>
              <w:t>, ул. 40 лет Победы, 11.</w:t>
            </w:r>
            <w:proofErr w:type="gramEnd"/>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Телефон</w:t>
            </w:r>
            <w:r w:rsidRPr="00862265">
              <w:rPr>
                <w:rFonts w:ascii="PT Astra Serif" w:eastAsia="Times New Roman" w:hAnsi="PT Astra Serif" w:cs="Times New Roman"/>
                <w:sz w:val="24"/>
                <w:szCs w:val="24"/>
              </w:rPr>
              <w:t xml:space="preserve"> (34675) 50037 факс (34675) 50037. </w:t>
            </w:r>
          </w:p>
          <w:p w:rsidR="00103BDB" w:rsidRPr="00862265" w:rsidRDefault="00103BDB" w:rsidP="00C5397F">
            <w:pPr>
              <w:keepNext/>
              <w:keepLines/>
              <w:widowControl w:val="0"/>
              <w:suppressLineNumbers/>
              <w:suppressAutoHyphens/>
              <w:spacing w:after="0" w:line="240" w:lineRule="auto"/>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Адрес электронной почты</w:t>
            </w:r>
            <w:r w:rsidRPr="00862265">
              <w:rPr>
                <w:rFonts w:ascii="PT Astra Serif" w:eastAsia="Times New Roman" w:hAnsi="PT Astra Serif" w:cs="Times New Roman"/>
                <w:sz w:val="24"/>
                <w:szCs w:val="24"/>
              </w:rPr>
              <w:t xml:space="preserve">: </w:t>
            </w:r>
            <w:proofErr w:type="spellStart"/>
            <w:r w:rsidRPr="00862265">
              <w:rPr>
                <w:rFonts w:ascii="PT Astra Serif" w:eastAsia="Times New Roman" w:hAnsi="PT Astra Serif" w:cs="Times New Roman"/>
                <w:sz w:val="24"/>
                <w:szCs w:val="24"/>
                <w:lang w:val="en-US"/>
              </w:rPr>
              <w:t>omz</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ugorsk</w:t>
            </w:r>
            <w:proofErr w:type="spellEnd"/>
            <w:r w:rsidRPr="00862265">
              <w:rPr>
                <w:rFonts w:ascii="PT Astra Serif" w:eastAsia="Times New Roman" w:hAnsi="PT Astra Serif" w:cs="Times New Roman"/>
                <w:sz w:val="24"/>
                <w:szCs w:val="24"/>
              </w:rPr>
              <w:t>.</w:t>
            </w:r>
            <w:proofErr w:type="spellStart"/>
            <w:r w:rsidRPr="00862265">
              <w:rPr>
                <w:rFonts w:ascii="PT Astra Serif" w:eastAsia="Times New Roman" w:hAnsi="PT Astra Serif" w:cs="Times New Roman"/>
                <w:sz w:val="24"/>
                <w:szCs w:val="24"/>
                <w:lang w:val="en-US"/>
              </w:rPr>
              <w:t>ru</w:t>
            </w:r>
            <w:proofErr w:type="spellEnd"/>
            <w:r w:rsidRPr="00862265">
              <w:rPr>
                <w:rFonts w:ascii="PT Astra Serif" w:eastAsia="Times New Roman" w:hAnsi="PT Astra Serif" w:cs="Times New Roman"/>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b/>
                <w:sz w:val="24"/>
                <w:szCs w:val="24"/>
              </w:rPr>
              <w:t>Ответственное должностное лицо</w:t>
            </w:r>
            <w:r w:rsidRPr="00862265">
              <w:rPr>
                <w:rFonts w:ascii="PT Astra Serif" w:eastAsia="Times New Roman" w:hAnsi="PT Astra Serif" w:cs="Times New Roman"/>
                <w:sz w:val="24"/>
                <w:szCs w:val="24"/>
              </w:rPr>
              <w:t>:  начальник отдела муниципальных закупок Захарова Наталья Борисовна.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lang w:val="en-US"/>
              </w:rPr>
            </w:pPr>
            <w:proofErr w:type="spellStart"/>
            <w:r w:rsidRPr="00862265">
              <w:rPr>
                <w:rFonts w:ascii="PT Astra Serif" w:eastAsia="Times New Roman" w:hAnsi="PT Astra Serif" w:cs="Times New Roman"/>
                <w:sz w:val="24"/>
                <w:szCs w:val="24"/>
                <w:lang w:val="en-US"/>
              </w:rPr>
              <w:t>Идентификационный</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код</w:t>
            </w:r>
            <w:proofErr w:type="spellEnd"/>
            <w:r w:rsidRPr="00862265">
              <w:rPr>
                <w:rFonts w:ascii="PT Astra Serif" w:eastAsia="Times New Roman" w:hAnsi="PT Astra Serif" w:cs="Times New Roman"/>
                <w:sz w:val="24"/>
                <w:szCs w:val="24"/>
                <w:lang w:val="en-US"/>
              </w:rPr>
              <w:t xml:space="preserve"> </w:t>
            </w:r>
            <w:proofErr w:type="spellStart"/>
            <w:r w:rsidRPr="00862265">
              <w:rPr>
                <w:rFonts w:ascii="PT Astra Serif" w:eastAsia="Times New Roman" w:hAnsi="PT Astra Serif" w:cs="Times New Roman"/>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0F3B6E">
              <w:rPr>
                <w:rFonts w:ascii="PT Astra Serif" w:eastAsia="Times New Roman" w:hAnsi="PT Astra Serif" w:cs="Times New Roman"/>
                <w:sz w:val="24"/>
                <w:szCs w:val="24"/>
              </w:rPr>
              <w:t>25 38622002368862201001 0119 001 2599 244</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определения поставщика (подрядчика, исполнителя)</w:t>
            </w:r>
            <w:r w:rsidRPr="00862265">
              <w:rPr>
                <w:rFonts w:ascii="PT Astra Serif" w:eastAsia="Times New Roman" w:hAnsi="PT Astra Serif" w:cs="Times New Roman"/>
                <w:color w:val="000000"/>
                <w:sz w:val="24"/>
                <w:szCs w:val="24"/>
              </w:rPr>
              <w:tab/>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Электронный аукцион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Адрес электронной площадки в информационно-телекоммуникационной сети Интернет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Акционерное общество «Сбербанк - Автоматизированная система торгов»</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http://www.sberbank-ast.ru</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Наименование</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объекта</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закупки</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bCs/>
                <w:color w:val="000000"/>
                <w:sz w:val="24"/>
                <w:szCs w:val="24"/>
              </w:rPr>
              <w:t>Аукцион в электронной форме</w:t>
            </w:r>
            <w:r w:rsidRPr="00862265">
              <w:rPr>
                <w:rFonts w:ascii="Times New Roman" w:eastAsia="Times New Roman" w:hAnsi="Times New Roman" w:cs="Times New Roman"/>
              </w:rPr>
              <w:t xml:space="preserve"> </w:t>
            </w:r>
            <w:r w:rsidRPr="00862265">
              <w:rPr>
                <w:rFonts w:ascii="PT Astra Serif" w:eastAsia="Times New Roman" w:hAnsi="PT Astra Serif" w:cs="Times New Roman"/>
                <w:bCs/>
                <w:color w:val="000000"/>
                <w:sz w:val="24"/>
                <w:szCs w:val="24"/>
              </w:rPr>
              <w:t>на право заключения муниципального контракта на поставку рамок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Times New Roman" w:eastAsia="Times New Roman" w:hAnsi="Times New Roman" w:cs="Times New Roman"/>
                <w:color w:val="000000"/>
                <w:sz w:val="24"/>
                <w:szCs w:val="24"/>
              </w:rPr>
            </w:pPr>
            <w:r w:rsidRPr="00862265">
              <w:rPr>
                <w:rFonts w:ascii="Times New Roman" w:eastAsia="Times New Roman" w:hAnsi="Times New Roman" w:cs="Times New Roman"/>
                <w:color w:val="000000"/>
                <w:sz w:val="24"/>
                <w:szCs w:val="24"/>
              </w:rPr>
              <w:t>Информация при осуществлении закупки товара, в том числе поставляемого заказчику при выполнении закупаемых работ, оказании закупаемых услуг</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highlight w:val="yellow"/>
              </w:rPr>
            </w:pPr>
            <w:r w:rsidRPr="00862265">
              <w:rPr>
                <w:rFonts w:ascii="PT Astra Serif" w:eastAsia="Times New Roman" w:hAnsi="PT Astra Serif" w:cs="Times New Roman"/>
                <w:sz w:val="24"/>
                <w:szCs w:val="24"/>
              </w:rPr>
              <w:t>Информация об объекте закупки отражена в Приложении 1 к извещению об осуществлении закупки «Описание объекта закупки (Техническое значение)»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Срок исполнения </w:t>
            </w:r>
            <w:r w:rsidRPr="00862265">
              <w:rPr>
                <w:rFonts w:ascii="PT Astra Serif" w:eastAsia="Times New Roman" w:hAnsi="PT Astra Serif" w:cs="Times New Roman"/>
                <w:color w:val="000000"/>
                <w:sz w:val="24"/>
                <w:szCs w:val="24"/>
              </w:rPr>
              <w:lastRenderedPageBreak/>
              <w:t>контракта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 xml:space="preserve">Срок поставки товара – </w:t>
            </w:r>
            <w:proofErr w:type="gramStart"/>
            <w:r w:rsidRPr="00862265">
              <w:rPr>
                <w:rFonts w:ascii="PT Astra Serif" w:eastAsia="Times New Roman" w:hAnsi="PT Astra Serif" w:cs="Times New Roman"/>
                <w:sz w:val="24"/>
                <w:szCs w:val="24"/>
              </w:rPr>
              <w:t xml:space="preserve">с </w:t>
            </w:r>
            <w:r>
              <w:rPr>
                <w:rFonts w:ascii="PT Astra Serif" w:eastAsia="Times New Roman" w:hAnsi="PT Astra Serif" w:cs="Times New Roman"/>
                <w:sz w:val="24"/>
                <w:szCs w:val="24"/>
              </w:rPr>
              <w:t>даты заключения</w:t>
            </w:r>
            <w:proofErr w:type="gramEnd"/>
            <w:r>
              <w:rPr>
                <w:rFonts w:ascii="PT Astra Serif" w:eastAsia="Times New Roman" w:hAnsi="PT Astra Serif" w:cs="Times New Roman"/>
                <w:sz w:val="24"/>
                <w:szCs w:val="24"/>
              </w:rPr>
              <w:t xml:space="preserve"> контракта по  </w:t>
            </w:r>
            <w:r>
              <w:rPr>
                <w:rFonts w:ascii="PT Astra Serif" w:eastAsia="Times New Roman" w:hAnsi="PT Astra Serif" w:cs="Times New Roman"/>
                <w:sz w:val="24"/>
                <w:szCs w:val="24"/>
              </w:rPr>
              <w:lastRenderedPageBreak/>
              <w:t>21.03.2025</w:t>
            </w:r>
            <w:r w:rsidRPr="00862265">
              <w:rPr>
                <w:rFonts w:ascii="PT Astra Serif" w:eastAsia="Times New Roman" w:hAnsi="PT Astra Serif" w:cs="Times New Roman"/>
                <w:sz w:val="24"/>
                <w:szCs w:val="24"/>
              </w:rPr>
              <w:t xml:space="preserve"> г.</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Начало исполнения контракта – </w:t>
            </w:r>
            <w:proofErr w:type="gramStart"/>
            <w:r w:rsidRPr="00862265">
              <w:rPr>
                <w:rFonts w:ascii="PT Astra Serif" w:eastAsia="Times New Roman" w:hAnsi="PT Astra Serif" w:cs="Times New Roman"/>
                <w:sz w:val="24"/>
                <w:szCs w:val="24"/>
              </w:rPr>
              <w:t>с даты заключения</w:t>
            </w:r>
            <w:proofErr w:type="gramEnd"/>
            <w:r w:rsidRPr="00862265">
              <w:rPr>
                <w:rFonts w:ascii="PT Astra Serif" w:eastAsia="Times New Roman" w:hAnsi="PT Astra Serif" w:cs="Times New Roman"/>
                <w:sz w:val="24"/>
                <w:szCs w:val="24"/>
              </w:rPr>
              <w:t xml:space="preserve"> контракта</w:t>
            </w:r>
          </w:p>
          <w:p w:rsidR="00103BDB" w:rsidRPr="00784959" w:rsidRDefault="00103BDB" w:rsidP="00C5397F">
            <w:pPr>
              <w:spacing w:after="0" w:line="240" w:lineRule="auto"/>
              <w:jc w:val="both"/>
              <w:rPr>
                <w:rFonts w:ascii="PT Astra Serif" w:eastAsia="Times New Roman" w:hAnsi="PT Astra Serif" w:cs="Times New Roman"/>
                <w:color w:val="000000" w:themeColor="text1"/>
                <w:sz w:val="24"/>
                <w:szCs w:val="24"/>
              </w:rPr>
            </w:pPr>
            <w:r w:rsidRPr="00784959">
              <w:rPr>
                <w:rFonts w:ascii="PT Astra Serif" w:eastAsia="Times New Roman" w:hAnsi="PT Astra Serif" w:cs="Times New Roman"/>
                <w:color w:val="000000" w:themeColor="text1"/>
                <w:sz w:val="24"/>
                <w:szCs w:val="24"/>
              </w:rPr>
              <w:t>Окончание исполнения контракта –30.04.2025 г.</w:t>
            </w: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p w:rsidR="00103BDB" w:rsidRPr="00862265" w:rsidRDefault="00103BDB" w:rsidP="00C5397F">
            <w:pPr>
              <w:spacing w:after="0" w:line="240" w:lineRule="auto"/>
              <w:jc w:val="both"/>
              <w:rPr>
                <w:rFonts w:ascii="PT Astra Serif" w:eastAsia="Times New Roman" w:hAnsi="PT Astra Serif" w:cs="Times New Roman"/>
                <w:sz w:val="24"/>
                <w:szCs w:val="24"/>
              </w:rPr>
            </w:pPr>
          </w:p>
        </w:tc>
      </w:tr>
      <w:tr w:rsidR="00103BDB" w:rsidRPr="00862265" w:rsidTr="00C5397F">
        <w:trPr>
          <w:trHeight w:val="147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Начальная (максимальная) цена контракта (цена отдельных этапов исполнения контракта, если проектом контракта предусмотрены такие этапы)</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Pr>
                <w:rFonts w:ascii="PT Astra Serif" w:eastAsia="Times New Roman" w:hAnsi="PT Astra Serif" w:cs="Times New Roman"/>
                <w:b/>
                <w:snapToGrid w:val="0"/>
                <w:sz w:val="24"/>
                <w:szCs w:val="24"/>
              </w:rPr>
              <w:t>72 694</w:t>
            </w:r>
            <w:r w:rsidRPr="00862265">
              <w:rPr>
                <w:rFonts w:ascii="PT Astra Serif" w:eastAsia="Times New Roman" w:hAnsi="PT Astra Serif" w:cs="Times New Roman"/>
                <w:b/>
                <w:snapToGrid w:val="0"/>
                <w:sz w:val="24"/>
                <w:szCs w:val="24"/>
              </w:rPr>
              <w:t xml:space="preserve"> </w:t>
            </w:r>
            <w:r>
              <w:rPr>
                <w:rFonts w:ascii="PT Astra Serif" w:eastAsia="Times New Roman" w:hAnsi="PT Astra Serif" w:cs="Times New Roman"/>
                <w:b/>
                <w:snapToGrid w:val="0"/>
                <w:sz w:val="24"/>
                <w:szCs w:val="24"/>
              </w:rPr>
              <w:t xml:space="preserve">(семьдесят две </w:t>
            </w:r>
            <w:r w:rsidRPr="00862265">
              <w:rPr>
                <w:rFonts w:ascii="PT Astra Serif" w:eastAsia="Times New Roman" w:hAnsi="PT Astra Serif" w:cs="Times New Roman"/>
                <w:b/>
                <w:snapToGrid w:val="0"/>
                <w:sz w:val="24"/>
                <w:szCs w:val="24"/>
              </w:rPr>
              <w:t>тысяч</w:t>
            </w:r>
            <w:r>
              <w:rPr>
                <w:rFonts w:ascii="PT Astra Serif" w:eastAsia="Times New Roman" w:hAnsi="PT Astra Serif" w:cs="Times New Roman"/>
                <w:b/>
                <w:snapToGrid w:val="0"/>
                <w:sz w:val="24"/>
                <w:szCs w:val="24"/>
              </w:rPr>
              <w:t>и шестьдесят девяносто четыре) рубля 30 копеек</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lang w:val="en-US"/>
              </w:rPr>
            </w:pPr>
            <w:proofErr w:type="spellStart"/>
            <w:r w:rsidRPr="00862265">
              <w:rPr>
                <w:rFonts w:ascii="PT Astra Serif" w:eastAsia="Times New Roman" w:hAnsi="PT Astra Serif" w:cs="Times New Roman"/>
                <w:color w:val="000000"/>
                <w:sz w:val="24"/>
                <w:szCs w:val="24"/>
                <w:lang w:val="en-US"/>
              </w:rPr>
              <w:t>Источник</w:t>
            </w:r>
            <w:proofErr w:type="spellEnd"/>
            <w:r w:rsidRPr="00862265">
              <w:rPr>
                <w:rFonts w:ascii="PT Astra Serif" w:eastAsia="Times New Roman" w:hAnsi="PT Astra Serif" w:cs="Times New Roman"/>
                <w:color w:val="000000"/>
                <w:sz w:val="24"/>
                <w:szCs w:val="24"/>
                <w:lang w:val="en-US"/>
              </w:rPr>
              <w:t xml:space="preserve"> </w:t>
            </w:r>
            <w:proofErr w:type="spellStart"/>
            <w:r w:rsidRPr="00862265">
              <w:rPr>
                <w:rFonts w:ascii="PT Astra Serif" w:eastAsia="Times New Roman" w:hAnsi="PT Astra Serif" w:cs="Times New Roman"/>
                <w:color w:val="000000"/>
                <w:sz w:val="24"/>
                <w:szCs w:val="24"/>
                <w:lang w:val="en-US"/>
              </w:rPr>
              <w:t>финансирования</w:t>
            </w:r>
            <w:proofErr w:type="spell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Pr>
                <w:rFonts w:ascii="PT Astra Serif" w:eastAsia="Times New Roman" w:hAnsi="PT Astra Serif" w:cs="Times New Roman"/>
                <w:color w:val="000000"/>
                <w:sz w:val="24"/>
                <w:szCs w:val="24"/>
              </w:rPr>
              <w:t xml:space="preserve">Бюджет города </w:t>
            </w:r>
            <w:proofErr w:type="spellStart"/>
            <w:r>
              <w:rPr>
                <w:rFonts w:ascii="PT Astra Serif" w:eastAsia="Times New Roman" w:hAnsi="PT Astra Serif" w:cs="Times New Roman"/>
                <w:color w:val="000000"/>
                <w:sz w:val="24"/>
                <w:szCs w:val="24"/>
              </w:rPr>
              <w:t>Югорска</w:t>
            </w:r>
            <w:proofErr w:type="spellEnd"/>
            <w:r>
              <w:rPr>
                <w:rFonts w:ascii="PT Astra Serif" w:eastAsia="Times New Roman" w:hAnsi="PT Astra Serif" w:cs="Times New Roman"/>
                <w:color w:val="000000"/>
                <w:sz w:val="24"/>
                <w:szCs w:val="24"/>
              </w:rPr>
              <w:t xml:space="preserve"> на 2025</w:t>
            </w:r>
            <w:r w:rsidRPr="00862265">
              <w:rPr>
                <w:rFonts w:ascii="PT Astra Serif" w:eastAsia="Times New Roman" w:hAnsi="PT Astra Serif" w:cs="Times New Roman"/>
                <w:color w:val="000000"/>
                <w:sz w:val="24"/>
                <w:szCs w:val="24"/>
              </w:rPr>
              <w:t xml:space="preserve"> год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Наименование валюты в соответствии с общероссийским классификатором валют</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lang w:eastAsia="ru-RU"/>
              </w:rPr>
              <w:t>российский рубль</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Размер аванса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u w:val="single"/>
              </w:rPr>
              <w:t>не предусмотрен</w:t>
            </w:r>
            <w:r w:rsidRPr="00862265">
              <w:rPr>
                <w:rFonts w:ascii="PT Astra Serif" w:eastAsia="Times New Roman" w:hAnsi="PT Astra Serif" w:cs="Times New Roman"/>
                <w:i/>
                <w:color w:val="000000"/>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Требования, предъявляемые к участникам закупки в соответствии с частью 1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должен соответствовать требованиям:</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которые являются объектом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spellStart"/>
            <w:r w:rsidRPr="00862265">
              <w:rPr>
                <w:rFonts w:ascii="PT Astra Serif" w:eastAsia="Times New Roman" w:hAnsi="PT Astra Serif" w:cs="Times New Roman"/>
                <w:color w:val="000000"/>
                <w:sz w:val="24"/>
                <w:szCs w:val="24"/>
              </w:rPr>
              <w:t>непроведение</w:t>
            </w:r>
            <w:proofErr w:type="spellEnd"/>
            <w:r w:rsidRPr="00862265">
              <w:rPr>
                <w:rFonts w:ascii="PT Astra Serif" w:eastAsia="Times New Roman" w:hAnsi="PT Astra Serif" w:cs="Times New Roman"/>
                <w:color w:val="000000"/>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3) </w:t>
            </w:r>
            <w:proofErr w:type="spellStart"/>
            <w:r w:rsidRPr="00862265">
              <w:rPr>
                <w:rFonts w:ascii="PT Astra Serif" w:eastAsia="Times New Roman" w:hAnsi="PT Astra Serif" w:cs="Times New Roman"/>
                <w:color w:val="000000"/>
                <w:sz w:val="24"/>
                <w:szCs w:val="24"/>
              </w:rPr>
              <w:t>неприостановление</w:t>
            </w:r>
            <w:proofErr w:type="spellEnd"/>
            <w:r w:rsidRPr="00862265">
              <w:rPr>
                <w:rFonts w:ascii="PT Astra Serif" w:eastAsia="Times New Roman" w:hAnsi="PT Astra Serif" w:cs="Times New Roman"/>
                <w:color w:val="000000"/>
                <w:sz w:val="24"/>
                <w:szCs w:val="24"/>
              </w:rPr>
              <w:t xml:space="preserve"> деятельности участника закупки в порядке, установленном Кодексом об административных правонарушениях;</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862265">
              <w:rPr>
                <w:rFonts w:ascii="PT Astra Serif" w:eastAsia="Times New Roman" w:hAnsi="PT Astra Serif" w:cs="Times New Roman"/>
                <w:color w:val="000000"/>
                <w:sz w:val="24"/>
                <w:szCs w:val="24"/>
              </w:rPr>
              <w:t xml:space="preserve"> </w:t>
            </w:r>
            <w:proofErr w:type="gramStart"/>
            <w:r w:rsidRPr="00862265">
              <w:rPr>
                <w:rFonts w:ascii="PT Astra Serif" w:eastAsia="Times New Roman" w:hAnsi="PT Astra Serif" w:cs="Times New Roman"/>
                <w:color w:val="000000"/>
                <w:sz w:val="24"/>
                <w:szCs w:val="24"/>
              </w:rPr>
              <w:t xml:space="preserve">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w:t>
            </w:r>
            <w:r w:rsidRPr="00862265">
              <w:rPr>
                <w:rFonts w:ascii="PT Astra Serif" w:eastAsia="Times New Roman" w:hAnsi="PT Astra Serif" w:cs="Times New Roman"/>
                <w:color w:val="000000"/>
                <w:sz w:val="24"/>
                <w:szCs w:val="24"/>
              </w:rPr>
              <w:lastRenderedPageBreak/>
              <w:t>год, размер которых превышает 25 % балансовой стоимости активов участника закупки, по данным бухгалтерской отчетности за последний отчетный период.</w:t>
            </w:r>
            <w:proofErr w:type="gramEnd"/>
            <w:r w:rsidRPr="00862265">
              <w:rPr>
                <w:rFonts w:ascii="PT Astra Serif" w:eastAsia="Times New Roman" w:hAnsi="PT Astra Serif" w:cs="Times New Roman"/>
                <w:color w:val="000000"/>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862265">
              <w:rPr>
                <w:rFonts w:ascii="PT Astra Serif" w:eastAsia="Times New Roman" w:hAnsi="PT Astra Serif" w:cs="Times New Roman"/>
                <w:color w:val="000000"/>
                <w:sz w:val="24"/>
                <w:szCs w:val="24"/>
              </w:rPr>
              <w:t>указанных</w:t>
            </w:r>
            <w:proofErr w:type="gramEnd"/>
            <w:r w:rsidRPr="00862265">
              <w:rPr>
                <w:rFonts w:ascii="PT Astra Serif" w:eastAsia="Times New Roman" w:hAnsi="PT Astra Serif" w:cs="Times New Roman"/>
                <w:color w:val="000000"/>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(за исключением лиц, у которых такая судимость погашена или снята), а также неприменение в отношении указанных</w:t>
            </w:r>
            <w:proofErr w:type="gramEnd"/>
            <w:r w:rsidRPr="00862265">
              <w:rPr>
                <w:rFonts w:ascii="PT Astra Serif" w:eastAsia="Times New Roman" w:hAnsi="PT Astra Serif" w:cs="Times New Roman"/>
                <w:color w:val="000000"/>
                <w:sz w:val="24"/>
                <w:szCs w:val="24"/>
              </w:rPr>
              <w:t xml:space="preserve">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7)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 xml:space="preserve">8)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sidRPr="00862265">
              <w:rPr>
                <w:rFonts w:ascii="PT Astra Serif" w:eastAsia="Times New Roman" w:hAnsi="PT Astra Serif" w:cs="Times New Roman"/>
                <w:color w:val="000000"/>
                <w:sz w:val="24"/>
                <w:szCs w:val="24"/>
              </w:rPr>
              <w:t>неполнородный</w:t>
            </w:r>
            <w:proofErr w:type="spellEnd"/>
            <w:r w:rsidRPr="00862265">
              <w:rPr>
                <w:rFonts w:ascii="PT Astra Serif" w:eastAsia="Times New Roman" w:hAnsi="PT Astra Serif" w:cs="Times New Roman"/>
                <w:color w:val="000000"/>
                <w:sz w:val="24"/>
                <w:szCs w:val="24"/>
              </w:rPr>
              <w:t xml:space="preserve"> (имеющий общих с должностным лицом заказчика отца или мать) брат (сестра), лицо, усыновленное должностным лицом заказчика, либо</w:t>
            </w:r>
            <w:proofErr w:type="gramEnd"/>
            <w:r w:rsidRPr="00862265">
              <w:rPr>
                <w:rFonts w:ascii="PT Astra Serif" w:eastAsia="Times New Roman" w:hAnsi="PT Astra Serif" w:cs="Times New Roman"/>
                <w:color w:val="000000"/>
                <w:sz w:val="24"/>
                <w:szCs w:val="24"/>
              </w:rPr>
              <w:t xml:space="preserve"> усыновитель этого должностного лица заказчика является:</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а) физическим лицом (в том числе зарегистрированным в качестве индивидуального предпринимателя), являющимся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б) руководителем, единоличным исполнительным органом, членом коллегиального исполнительного органа, </w:t>
            </w:r>
            <w:r w:rsidRPr="00862265">
              <w:rPr>
                <w:rFonts w:ascii="PT Astra Serif" w:eastAsia="Times New Roman" w:hAnsi="PT Astra Serif" w:cs="Times New Roman"/>
                <w:color w:val="000000"/>
                <w:sz w:val="24"/>
                <w:szCs w:val="24"/>
              </w:rPr>
              <w:lastRenderedPageBreak/>
              <w:t>учредителем, членом коллегиального органа унитарной организации, являющейся участником закупки;</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sidRPr="00862265">
              <w:rPr>
                <w:rFonts w:ascii="PT Astra Serif" w:eastAsia="Times New Roman" w:hAnsi="PT Astra Serif" w:cs="Times New Roman"/>
                <w:color w:val="000000"/>
                <w:sz w:val="24"/>
                <w:szCs w:val="24"/>
              </w:rPr>
              <w:t xml:space="preserve">Выгодоприобретателем для целей настоящего пункта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9)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w:t>
            </w:r>
            <w:proofErr w:type="gramEnd"/>
            <w:r w:rsidRPr="00862265">
              <w:rPr>
                <w:rFonts w:ascii="PT Astra Serif" w:eastAsia="Times New Roman" w:hAnsi="PT Astra Serif" w:cs="Times New Roman"/>
                <w:color w:val="000000"/>
                <w:sz w:val="24"/>
                <w:szCs w:val="24"/>
              </w:rPr>
              <w:t xml:space="preserve"> уставном (складочном) </w:t>
            </w:r>
            <w:proofErr w:type="gramStart"/>
            <w:r w:rsidRPr="00862265">
              <w:rPr>
                <w:rFonts w:ascii="PT Astra Serif" w:eastAsia="Times New Roman" w:hAnsi="PT Astra Serif" w:cs="Times New Roman"/>
                <w:color w:val="000000"/>
                <w:sz w:val="24"/>
                <w:szCs w:val="24"/>
              </w:rPr>
              <w:t>капитале</w:t>
            </w:r>
            <w:proofErr w:type="gramEnd"/>
            <w:r w:rsidRPr="00862265">
              <w:rPr>
                <w:rFonts w:ascii="PT Astra Serif" w:eastAsia="Times New Roman" w:hAnsi="PT Astra Serif" w:cs="Times New Roman"/>
                <w:color w:val="000000"/>
                <w:sz w:val="24"/>
                <w:szCs w:val="24"/>
              </w:rPr>
              <w:t xml:space="preserve"> хозяйственного товарищества или общества;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10) участник закупки не является иностранным агентом;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11) отсутствие у участника закупки ограничений для участия в закупках, установленных законодательством Российской Федерации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Требования, предъявляемые к участникам закупки в соответствии с частями 2 и 2.1 (при наличии таких требований) статьи 31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 xml:space="preserve">Не установлено </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Перечень документов, которые подтверждают соответствие участника закупки требованиям, установленным в извещении о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Установлено в соответствии с Приложением 3 к извещению о проведении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предъявляемые к участникам закупки в соответствии с частью </w:t>
            </w:r>
            <w:r w:rsidRPr="00862265">
              <w:rPr>
                <w:rFonts w:ascii="PT Astra Serif" w:eastAsia="Times New Roman" w:hAnsi="PT Astra Serif" w:cs="Times New Roman"/>
                <w:color w:val="000000"/>
                <w:sz w:val="24"/>
                <w:szCs w:val="24"/>
                <w:lang w:val="en-US"/>
              </w:rPr>
              <w:t xml:space="preserve">1.1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31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 xml:space="preserve">о контрактной системе (при наличии такого </w:t>
            </w:r>
            <w:r w:rsidRPr="00862265">
              <w:rPr>
                <w:rFonts w:ascii="PT Astra Serif" w:eastAsia="Times New Roman" w:hAnsi="PT Astra Serif" w:cs="Times New Roman"/>
                <w:color w:val="000000"/>
                <w:sz w:val="24"/>
                <w:szCs w:val="24"/>
              </w:rPr>
              <w:lastRenderedPageBreak/>
              <w:t>требования)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Отсутствие в реестре недобросовестных поставщиков (подрядчиков, исполнителей) информации об участнике закупки, в том числе информации о лицах, информация о которых содержится в заявке на участие в закупке в соответствии с подпунктом «в» пункта 1 части 1 статьи 43 Закона о контрактной системе, если Правительством Российской Федерации не установлено иное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Преимущества в соответствии со статьями 28 и 29 Закона 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учреждениям и предприятиям уголовно-исполнительной системы: </w:t>
            </w:r>
            <w:r w:rsidRPr="00862265">
              <w:rPr>
                <w:rFonts w:ascii="PT Astra Serif" w:eastAsia="Times New Roman" w:hAnsi="PT Astra Serif" w:cs="Times New Roman"/>
                <w:i/>
                <w:sz w:val="24"/>
                <w:szCs w:val="24"/>
                <w:u w:val="single"/>
              </w:rPr>
              <w:t>не предоставляются</w:t>
            </w:r>
            <w:r w:rsidRPr="00862265">
              <w:rPr>
                <w:rFonts w:ascii="PT Astra Serif" w:eastAsia="Times New Roman" w:hAnsi="PT Astra Serif" w:cs="Times New Roman"/>
                <w:i/>
                <w:sz w:val="24"/>
                <w:szCs w:val="24"/>
              </w:rPr>
              <w:t xml:space="preserve">. </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Размер ___________% от цены контракта.</w:t>
            </w:r>
          </w:p>
          <w:p w:rsidR="00103BDB" w:rsidRPr="00862265" w:rsidRDefault="00103BDB" w:rsidP="00C5397F">
            <w:pPr>
              <w:spacing w:after="0" w:line="240" w:lineRule="auto"/>
              <w:jc w:val="both"/>
              <w:rPr>
                <w:rFonts w:ascii="PT Astra Serif" w:eastAsia="Times New Roman" w:hAnsi="PT Astra Serif" w:cs="Times New Roman"/>
                <w:i/>
                <w:sz w:val="24"/>
                <w:szCs w:val="24"/>
              </w:rPr>
            </w:pPr>
            <w:r w:rsidRPr="00862265">
              <w:rPr>
                <w:rFonts w:ascii="PT Astra Serif" w:eastAsia="Times New Roman" w:hAnsi="PT Astra Serif" w:cs="Times New Roman"/>
                <w:sz w:val="24"/>
                <w:szCs w:val="24"/>
              </w:rPr>
              <w:t xml:space="preserve">Преимущества организациям инвалидов: </w:t>
            </w:r>
            <w:r w:rsidRPr="00862265">
              <w:rPr>
                <w:rFonts w:ascii="PT Astra Serif" w:eastAsia="Times New Roman" w:hAnsi="PT Astra Serif" w:cs="Times New Roman"/>
                <w:i/>
                <w:sz w:val="24"/>
                <w:szCs w:val="24"/>
                <w:u w:val="single"/>
              </w:rPr>
              <w:t xml:space="preserve"> предоставляются</w:t>
            </w:r>
            <w:proofErr w:type="gramStart"/>
            <w:r w:rsidRPr="00862265">
              <w:rPr>
                <w:rFonts w:ascii="PT Astra Serif" w:eastAsia="Times New Roman" w:hAnsi="PT Astra Serif" w:cs="Times New Roman"/>
                <w:i/>
                <w:sz w:val="24"/>
                <w:szCs w:val="24"/>
                <w:u w:val="single"/>
              </w:rPr>
              <w:t>.</w:t>
            </w:r>
            <w:r w:rsidRPr="00862265">
              <w:rPr>
                <w:rFonts w:ascii="PT Astra Serif" w:eastAsia="Times New Roman" w:hAnsi="PT Astra Serif" w:cs="Times New Roman"/>
                <w:i/>
                <w:sz w:val="24"/>
                <w:szCs w:val="24"/>
                <w:vertAlign w:val="superscript"/>
              </w:rPr>
              <w:t>.</w:t>
            </w:r>
            <w:r w:rsidRPr="00862265">
              <w:rPr>
                <w:rFonts w:ascii="PT Astra Serif" w:eastAsia="Times New Roman" w:hAnsi="PT Astra Serif" w:cs="Times New Roman"/>
                <w:i/>
                <w:sz w:val="24"/>
                <w:szCs w:val="24"/>
              </w:rPr>
              <w:t xml:space="preserve"> </w:t>
            </w:r>
            <w:proofErr w:type="gram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sz w:val="24"/>
                <w:szCs w:val="24"/>
              </w:rPr>
              <w:t>Размер 15 % от цены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Преимущества участия в определении поставщика (подрядчика, исполнителя) в соответствии с частью </w:t>
            </w:r>
            <w:r w:rsidRPr="00862265">
              <w:rPr>
                <w:rFonts w:ascii="PT Astra Serif" w:eastAsia="Times New Roman" w:hAnsi="PT Astra Serif" w:cs="Times New Roman"/>
                <w:color w:val="000000"/>
                <w:sz w:val="24"/>
                <w:szCs w:val="24"/>
                <w:lang w:val="en-US"/>
              </w:rPr>
              <w:t xml:space="preserve">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30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Требование, установленное в соответствии с частью 5 статьи 30 Закона о контрактной системе, с указанием в соответствии с частью 6 статьи 30 Закона о контрактной системе объема привлечения к исполнению контрактов субподрядчиков, соисполнителей из числа субъектов малого предпринимательства, социально ориентированных некоммерческих организаций</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r w:rsidRPr="00862265">
              <w:rPr>
                <w:rFonts w:ascii="PT Astra Serif" w:eastAsia="Times New Roman" w:hAnsi="PT Astra Serif" w:cs="Times New Roman"/>
                <w:i/>
                <w:color w:val="000000"/>
                <w:sz w:val="24"/>
                <w:szCs w:val="24"/>
                <w:u w:val="single"/>
              </w:rPr>
              <w:t>Н</w:t>
            </w:r>
            <w:r w:rsidRPr="00862265">
              <w:rPr>
                <w:rFonts w:ascii="PT Astra Serif" w:eastAsia="Times New Roman" w:hAnsi="PT Astra Serif" w:cs="Times New Roman"/>
                <w:i/>
                <w:color w:val="000000"/>
                <w:sz w:val="24"/>
                <w:szCs w:val="24"/>
                <w:u w:val="single"/>
                <w:lang w:val="en-US"/>
              </w:rPr>
              <w:t xml:space="preserve">е </w:t>
            </w:r>
            <w:proofErr w:type="spellStart"/>
            <w:r w:rsidRPr="00862265">
              <w:rPr>
                <w:rFonts w:ascii="PT Astra Serif" w:eastAsia="Times New Roman" w:hAnsi="PT Astra Serif" w:cs="Times New Roman"/>
                <w:i/>
                <w:color w:val="000000"/>
                <w:sz w:val="24"/>
                <w:szCs w:val="24"/>
                <w:u w:val="single"/>
                <w:lang w:val="en-US"/>
              </w:rPr>
              <w:t>установлено</w:t>
            </w:r>
            <w:proofErr w:type="spellEnd"/>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color w:val="000000"/>
                <w:sz w:val="24"/>
                <w:szCs w:val="24"/>
                <w:u w:val="single"/>
              </w:rPr>
            </w:pPr>
          </w:p>
        </w:tc>
      </w:tr>
      <w:tr w:rsidR="00103BDB" w:rsidRPr="009835CD"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9835CD" w:rsidRDefault="00103BDB" w:rsidP="00C5397F">
            <w:pPr>
              <w:spacing w:before="100" w:beforeAutospacing="1" w:after="100" w:afterAutospacing="1" w:line="240" w:lineRule="auto"/>
              <w:jc w:val="center"/>
              <w:rPr>
                <w:rFonts w:ascii="PT Astra Serif" w:eastAsia="Times New Roman" w:hAnsi="PT Astra Serif" w:cs="Times New Roman"/>
                <w:color w:val="000000"/>
              </w:rPr>
            </w:pPr>
            <w:r w:rsidRPr="009835CD">
              <w:rPr>
                <w:rFonts w:ascii="PT Astra Serif" w:eastAsia="Times New Roman" w:hAnsi="PT Astra Serif" w:cs="Times New Roman"/>
                <w:color w:val="000000"/>
              </w:rPr>
              <w:t>20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9835CD" w:rsidRDefault="00103BDB" w:rsidP="00C5397F">
            <w:pPr>
              <w:spacing w:before="100" w:beforeAutospacing="1" w:after="100" w:afterAutospacing="1" w:line="240" w:lineRule="auto"/>
              <w:rPr>
                <w:rFonts w:ascii="PT Astra Serif" w:eastAsia="Times New Roman" w:hAnsi="PT Astra Serif" w:cs="Times New Roman"/>
                <w:color w:val="000000"/>
              </w:rPr>
            </w:pPr>
            <w:proofErr w:type="gramStart"/>
            <w:r w:rsidRPr="009835CD">
              <w:rPr>
                <w:rFonts w:ascii="PT Astra Serif" w:eastAsia="Times New Roman" w:hAnsi="PT Astra Serif" w:cs="Times New Roman"/>
                <w:color w:val="000000"/>
              </w:rPr>
              <w:t xml:space="preserve">Запрет или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преимущество в отношении товаров российского происхождения (в том числе поставляемых при </w:t>
            </w:r>
            <w:r w:rsidRPr="009835CD">
              <w:rPr>
                <w:rFonts w:ascii="PT Astra Serif" w:eastAsia="Times New Roman" w:hAnsi="PT Astra Serif" w:cs="Times New Roman"/>
                <w:color w:val="000000"/>
              </w:rPr>
              <w:lastRenderedPageBreak/>
              <w:t>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w:t>
            </w:r>
            <w:proofErr w:type="gramEnd"/>
            <w:r w:rsidRPr="009835CD">
              <w:rPr>
                <w:rFonts w:ascii="PT Astra Serif" w:eastAsia="Times New Roman" w:hAnsi="PT Astra Serif" w:cs="Times New Roman"/>
                <w:color w:val="000000"/>
              </w:rPr>
              <w:t xml:space="preserve"> соответствии с пунктом 1 части 2 статьи 14 Закона о контрактной системе в отношении товара (в том числе поставляемого при выполнении закупаемой работы, оказании закупаемой услуги), работы, услуги, </w:t>
            </w:r>
            <w:proofErr w:type="gramStart"/>
            <w:r w:rsidRPr="009835CD">
              <w:rPr>
                <w:rFonts w:ascii="PT Astra Serif" w:eastAsia="Times New Roman" w:hAnsi="PT Astra Serif" w:cs="Times New Roman"/>
                <w:color w:val="000000"/>
              </w:rPr>
              <w:t>являющихся</w:t>
            </w:r>
            <w:proofErr w:type="gramEnd"/>
            <w:r w:rsidRPr="009835CD">
              <w:rPr>
                <w:rFonts w:ascii="PT Astra Serif" w:eastAsia="Times New Roman" w:hAnsi="PT Astra Serif" w:cs="Times New Roman"/>
                <w:color w:val="000000"/>
              </w:rPr>
              <w:t xml:space="preserve"> объектом закупки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9835CD" w:rsidRDefault="00103BDB" w:rsidP="00C5397F">
            <w:pPr>
              <w:spacing w:after="0" w:line="240" w:lineRule="auto"/>
              <w:jc w:val="both"/>
              <w:rPr>
                <w:rFonts w:ascii="PT Astra Serif" w:eastAsia="Times New Roman" w:hAnsi="PT Astra Serif" w:cs="Times New Roman"/>
                <w:i/>
                <w:u w:val="single"/>
              </w:rPr>
            </w:pPr>
            <w:r w:rsidRPr="009835CD">
              <w:rPr>
                <w:rFonts w:ascii="PT Astra Serif" w:eastAsia="Times New Roman" w:hAnsi="PT Astra Serif" w:cs="Times New Roman"/>
                <w:b/>
              </w:rPr>
              <w:lastRenderedPageBreak/>
              <w:t xml:space="preserve"> </w:t>
            </w:r>
            <w:r w:rsidR="009835CD" w:rsidRPr="009835CD">
              <w:rPr>
                <w:rFonts w:ascii="PT Astra Serif" w:eastAsia="Times New Roman" w:hAnsi="PT Astra Serif" w:cs="Times New Roman"/>
                <w:i/>
                <w:u w:val="single"/>
              </w:rPr>
              <w:t>У</w:t>
            </w:r>
            <w:r w:rsidRPr="009835CD">
              <w:rPr>
                <w:rFonts w:ascii="PT Astra Serif" w:eastAsia="Times New Roman" w:hAnsi="PT Astra Serif" w:cs="Times New Roman"/>
                <w:i/>
                <w:u w:val="single"/>
              </w:rPr>
              <w:t>становлено</w:t>
            </w:r>
            <w:r w:rsidR="009835CD" w:rsidRPr="009835CD">
              <w:rPr>
                <w:rFonts w:ascii="PT Astra Serif" w:eastAsia="Times New Roman" w:hAnsi="PT Astra Serif" w:cs="Times New Roman"/>
                <w:i/>
                <w:u w:val="single"/>
              </w:rPr>
              <w:t>.</w:t>
            </w:r>
          </w:p>
          <w:p w:rsidR="009835CD" w:rsidRPr="009835CD" w:rsidRDefault="009835CD" w:rsidP="009835CD">
            <w:pPr>
              <w:rPr>
                <w:rFonts w:ascii="PT Astra Serif" w:eastAsia="Times New Roman" w:hAnsi="PT Astra Serif"/>
              </w:rPr>
            </w:pPr>
            <w:r w:rsidRPr="009835CD">
              <w:rPr>
                <w:rFonts w:ascii="PT Astra Serif" w:eastAsia="Times New Roman" w:hAnsi="PT Astra Serif"/>
              </w:rPr>
              <w:t>Постановление Правительства РФ от 23.12.2024 № 1875</w:t>
            </w:r>
            <w:r>
              <w:rPr>
                <w:rFonts w:ascii="PT Astra Serif" w:eastAsia="Times New Roman" w:hAnsi="PT Astra Serif"/>
              </w:rPr>
              <w:t xml:space="preserve"> «</w:t>
            </w:r>
            <w:r w:rsidRPr="009835CD">
              <w:rPr>
                <w:rFonts w:ascii="PT Astra Serif" w:eastAsia="Times New Roman" w:hAnsi="PT Astra Serif"/>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9835CD" w:rsidRPr="009835CD" w:rsidRDefault="009835CD" w:rsidP="00C5397F">
            <w:pPr>
              <w:spacing w:after="0" w:line="240" w:lineRule="auto"/>
              <w:jc w:val="both"/>
              <w:rPr>
                <w:rFonts w:ascii="PT Astra Serif" w:eastAsia="Times New Roman" w:hAnsi="PT Astra Serif" w:cs="Times New Roman"/>
                <w:i/>
                <w:u w:val="single"/>
              </w:rPr>
            </w:pPr>
          </w:p>
          <w:p w:rsidR="00103BDB" w:rsidRPr="009835CD" w:rsidRDefault="00103BDB" w:rsidP="00C5397F">
            <w:pPr>
              <w:spacing w:after="0" w:line="240" w:lineRule="auto"/>
              <w:jc w:val="both"/>
              <w:rPr>
                <w:rFonts w:ascii="PT Astra Serif" w:eastAsia="Times New Roman" w:hAnsi="PT Astra Serif" w:cs="Times New Roman"/>
                <w:b/>
              </w:rPr>
            </w:pPr>
          </w:p>
          <w:p w:rsidR="00103BDB" w:rsidRPr="009835CD" w:rsidRDefault="00103BDB" w:rsidP="00C5397F">
            <w:pPr>
              <w:spacing w:after="0" w:line="240" w:lineRule="auto"/>
              <w:jc w:val="both"/>
              <w:rPr>
                <w:rFonts w:ascii="PT Astra Serif" w:eastAsia="Times New Roman" w:hAnsi="PT Astra Serif" w:cs="Times New Roman"/>
                <w:b/>
              </w:rPr>
            </w:pPr>
            <w:r w:rsidRPr="009835CD">
              <w:rPr>
                <w:rFonts w:ascii="PT Astra Serif" w:eastAsia="Times New Roman" w:hAnsi="PT Astra Serif" w:cs="Times New Roman"/>
                <w:b/>
              </w:rPr>
              <w:t xml:space="preserve"> </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заявки на участие в закупке</w:t>
            </w: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color w:val="000000"/>
                <w:sz w:val="24"/>
                <w:szCs w:val="24"/>
              </w:rPr>
              <w:t xml:space="preserve">Размер обеспечения заявки на участие в закупке установлен в </w:t>
            </w:r>
            <w:r w:rsidRPr="00862265">
              <w:rPr>
                <w:rFonts w:ascii="PT Astra Serif" w:eastAsia="Times New Roman" w:hAnsi="PT Astra Serif" w:cs="Times New Roman"/>
                <w:sz w:val="24"/>
                <w:szCs w:val="24"/>
              </w:rPr>
              <w:t>размере 1 % от начальной (максимальной) це</w:t>
            </w:r>
            <w:r>
              <w:rPr>
                <w:rFonts w:ascii="PT Astra Serif" w:eastAsia="Times New Roman" w:hAnsi="PT Astra Serif" w:cs="Times New Roman"/>
                <w:sz w:val="24"/>
                <w:szCs w:val="24"/>
              </w:rPr>
              <w:t>ны контракта, что составляет 726</w:t>
            </w:r>
            <w:r w:rsidRPr="00862265">
              <w:rPr>
                <w:rFonts w:ascii="PT Astra Serif" w:eastAsia="Times New Roman" w:hAnsi="PT Astra Serif" w:cs="Times New Roman"/>
                <w:sz w:val="24"/>
                <w:szCs w:val="24"/>
              </w:rPr>
              <w:t xml:space="preserve"> </w:t>
            </w:r>
            <w:r>
              <w:rPr>
                <w:rFonts w:ascii="PT Astra Serif" w:eastAsia="Times New Roman" w:hAnsi="PT Astra Serif" w:cs="Times New Roman"/>
                <w:i/>
                <w:sz w:val="24"/>
                <w:szCs w:val="24"/>
                <w:u w:val="single"/>
              </w:rPr>
              <w:t>(семьсот двадцать шесть</w:t>
            </w:r>
            <w:r w:rsidRPr="00862265">
              <w:rPr>
                <w:rFonts w:ascii="PT Astra Serif" w:eastAsia="Times New Roman" w:hAnsi="PT Astra Serif" w:cs="Times New Roman"/>
                <w:i/>
                <w:sz w:val="24"/>
                <w:szCs w:val="24"/>
                <w:u w:val="single"/>
              </w:rPr>
              <w:t>) рублей</w:t>
            </w:r>
            <w:r>
              <w:rPr>
                <w:rFonts w:ascii="PT Astra Serif" w:eastAsia="Times New Roman" w:hAnsi="PT Astra Serif" w:cs="Times New Roman"/>
                <w:i/>
                <w:sz w:val="24"/>
                <w:szCs w:val="24"/>
                <w:u w:val="single"/>
              </w:rPr>
              <w:t xml:space="preserve"> 94 копей</w:t>
            </w:r>
            <w:r w:rsidRPr="00862265">
              <w:rPr>
                <w:rFonts w:ascii="PT Astra Serif" w:eastAsia="Times New Roman" w:hAnsi="PT Astra Serif" w:cs="Times New Roman"/>
                <w:i/>
                <w:sz w:val="24"/>
                <w:szCs w:val="24"/>
                <w:u w:val="single"/>
              </w:rPr>
              <w:t>к</w:t>
            </w:r>
            <w:r>
              <w:rPr>
                <w:rFonts w:ascii="PT Astra Serif" w:eastAsia="Times New Roman" w:hAnsi="PT Astra Serif" w:cs="Times New Roman"/>
                <w:i/>
                <w:sz w:val="24"/>
                <w:szCs w:val="24"/>
                <w:u w:val="single"/>
              </w:rPr>
              <w:t>и</w:t>
            </w:r>
            <w:r w:rsidRPr="00862265">
              <w:rPr>
                <w:rFonts w:ascii="PT Astra Serif" w:eastAsia="Times New Roman" w:hAnsi="PT Astra Serif" w:cs="Times New Roman"/>
                <w:sz w:val="24"/>
                <w:szCs w:val="24"/>
              </w:rPr>
              <w:t>.</w:t>
            </w:r>
          </w:p>
          <w:p w:rsidR="00103BDB" w:rsidRPr="00784959"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i/>
                <w:sz w:val="24"/>
                <w:szCs w:val="24"/>
              </w:rPr>
              <w:t>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1/2 процента начальной (максимальной) цены контракта. 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внесения денежных сре</w:t>
            </w:r>
            <w:proofErr w:type="gramStart"/>
            <w:r w:rsidRPr="00862265">
              <w:rPr>
                <w:rFonts w:ascii="PT Astra Serif" w:eastAsia="Times New Roman" w:hAnsi="PT Astra Serif" w:cs="Times New Roman"/>
                <w:color w:val="000000"/>
                <w:sz w:val="24"/>
                <w:szCs w:val="24"/>
              </w:rPr>
              <w:t>дств в к</w:t>
            </w:r>
            <w:proofErr w:type="gramEnd"/>
            <w:r w:rsidRPr="00862265">
              <w:rPr>
                <w:rFonts w:ascii="PT Astra Serif" w:eastAsia="Times New Roman" w:hAnsi="PT Astra Serif" w:cs="Times New Roman"/>
                <w:color w:val="000000"/>
                <w:sz w:val="24"/>
                <w:szCs w:val="24"/>
              </w:rPr>
              <w:t>ачестве обеспечения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Обеспечение заявки на участие в закупке предоставляется в размере, указанном в предыдущем пункте одним из следующих способов: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1) путем блокирования денежных средств на банковском счете, открытом таким участником в банке, включенном в перечень, утвержденный Правительством Российской Федерации;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путем предоставления независимой гарантии, соответствующей требованиям статьи 45 Закона о контрактной системе.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Выбор способа обеспечения осуществляется участником закупки самостоятельно. Срок действия независимой гарантии должен составлять не менее месяца </w:t>
            </w:r>
            <w:proofErr w:type="gramStart"/>
            <w:r w:rsidRPr="00862265">
              <w:rPr>
                <w:rFonts w:ascii="PT Astra Serif" w:eastAsia="Times New Roman" w:hAnsi="PT Astra Serif" w:cs="Times New Roman"/>
                <w:color w:val="000000"/>
                <w:sz w:val="24"/>
                <w:szCs w:val="24"/>
              </w:rPr>
              <w:t>с даты окончания</w:t>
            </w:r>
            <w:proofErr w:type="gramEnd"/>
            <w:r w:rsidRPr="00862265">
              <w:rPr>
                <w:rFonts w:ascii="PT Astra Serif" w:eastAsia="Times New Roman" w:hAnsi="PT Astra Serif" w:cs="Times New Roman"/>
                <w:color w:val="000000"/>
                <w:sz w:val="24"/>
                <w:szCs w:val="24"/>
              </w:rPr>
              <w:t xml:space="preserve"> срока подачи заявок.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Предприятия уголовно-исполнительной системы, организации инвалидов, предусмотренные частью 2 статьи 29 Закона о контрактной системе, предоставляют обеспечение заявки на участие в закупке в размере одной второй процента </w:t>
            </w:r>
            <w:r w:rsidRPr="00862265">
              <w:rPr>
                <w:rFonts w:ascii="PT Astra Serif" w:eastAsia="Times New Roman" w:hAnsi="PT Astra Serif" w:cs="Times New Roman"/>
                <w:color w:val="000000"/>
                <w:sz w:val="24"/>
                <w:szCs w:val="24"/>
              </w:rPr>
              <w:lastRenderedPageBreak/>
              <w:t xml:space="preserve">начальной (максимальной) цены контракта. </w:t>
            </w:r>
          </w:p>
          <w:p w:rsidR="00103BDB" w:rsidRPr="00862265" w:rsidRDefault="00103BDB" w:rsidP="00C5397F">
            <w:pPr>
              <w:spacing w:after="0" w:line="240" w:lineRule="auto"/>
              <w:ind w:firstLine="350"/>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Государственные, муниципальные учреждения не предоставляют обеспечение подаваемых ими заявок на участие в закупках.</w:t>
            </w:r>
          </w:p>
        </w:tc>
      </w:tr>
      <w:tr w:rsidR="00103BDB" w:rsidRPr="00862265" w:rsidTr="00C5397F">
        <w:trPr>
          <w:trHeight w:val="1045"/>
        </w:trPr>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 xml:space="preserve">Условия независимой гарантии (если требование обеспечения заявки установлено в соответствии со статьей 44 Закона о контрактной системе)  </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Независимая гарантия должна соответствовать требованиям статьи 45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на котором в соответствии с законодательством Российской Федерации учитываются операции со средствами, поступающими заказчику</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Реквизиты счета для перечисления денежных сре</w:t>
            </w:r>
            <w:proofErr w:type="gramStart"/>
            <w:r w:rsidRPr="00862265">
              <w:rPr>
                <w:rFonts w:ascii="PT Astra Serif" w:eastAsia="Times New Roman" w:hAnsi="PT Astra Serif" w:cs="Times New Roman"/>
                <w:color w:val="000000"/>
                <w:sz w:val="24"/>
                <w:szCs w:val="24"/>
              </w:rPr>
              <w:t>дств в сл</w:t>
            </w:r>
            <w:proofErr w:type="gramEnd"/>
            <w:r w:rsidRPr="00862265">
              <w:rPr>
                <w:rFonts w:ascii="PT Astra Serif" w:eastAsia="Times New Roman" w:hAnsi="PT Astra Serif" w:cs="Times New Roman"/>
                <w:color w:val="000000"/>
                <w:sz w:val="24"/>
                <w:szCs w:val="24"/>
              </w:rPr>
              <w:t xml:space="preserve">учае, предусмотренном частью </w:t>
            </w:r>
            <w:r w:rsidRPr="00862265">
              <w:rPr>
                <w:rFonts w:ascii="PT Astra Serif" w:eastAsia="Times New Roman" w:hAnsi="PT Astra Serif" w:cs="Times New Roman"/>
                <w:color w:val="000000"/>
                <w:sz w:val="24"/>
                <w:szCs w:val="24"/>
                <w:lang w:val="en-US"/>
              </w:rPr>
              <w:t xml:space="preserve">13 </w:t>
            </w:r>
            <w:proofErr w:type="spellStart"/>
            <w:r w:rsidRPr="00862265">
              <w:rPr>
                <w:rFonts w:ascii="PT Astra Serif" w:eastAsia="Times New Roman" w:hAnsi="PT Astra Serif" w:cs="Times New Roman"/>
                <w:color w:val="000000"/>
                <w:sz w:val="24"/>
                <w:szCs w:val="24"/>
                <w:lang w:val="en-US"/>
              </w:rPr>
              <w:t>статьи</w:t>
            </w:r>
            <w:proofErr w:type="spellEnd"/>
            <w:r w:rsidRPr="00862265">
              <w:rPr>
                <w:rFonts w:ascii="PT Astra Serif" w:eastAsia="Times New Roman" w:hAnsi="PT Astra Serif" w:cs="Times New Roman"/>
                <w:color w:val="000000"/>
                <w:sz w:val="24"/>
                <w:szCs w:val="24"/>
                <w:lang w:val="en-US"/>
              </w:rPr>
              <w:t xml:space="preserve"> 44 </w:t>
            </w:r>
            <w:proofErr w:type="spellStart"/>
            <w:r w:rsidRPr="00862265">
              <w:rPr>
                <w:rFonts w:ascii="PT Astra Serif" w:eastAsia="Times New Roman" w:hAnsi="PT Astra Serif" w:cs="Times New Roman"/>
                <w:color w:val="000000"/>
                <w:sz w:val="24"/>
                <w:szCs w:val="24"/>
                <w:lang w:val="en-US"/>
              </w:rPr>
              <w:t>Закона</w:t>
            </w:r>
            <w:proofErr w:type="spellEnd"/>
            <w:r w:rsidRPr="00862265">
              <w:rPr>
                <w:rFonts w:ascii="PT Astra Serif" w:eastAsia="Times New Roman" w:hAnsi="PT Astra Serif" w:cs="Times New Roman"/>
                <w:color w:val="000000"/>
                <w:sz w:val="24"/>
                <w:szCs w:val="24"/>
                <w:lang w:val="en-US"/>
              </w:rPr>
              <w:t xml:space="preserve"> </w:t>
            </w:r>
            <w:r w:rsidRPr="00862265">
              <w:rPr>
                <w:rFonts w:ascii="PT Astra Serif" w:eastAsia="Times New Roman" w:hAnsi="PT Astra Serif" w:cs="Times New Roman"/>
                <w:color w:val="000000"/>
                <w:sz w:val="24"/>
                <w:szCs w:val="24"/>
              </w:rPr>
              <w:t>о контрактной системе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Наименование заказчика: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04873030170),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 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03100643000000018700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040 11610061040000140</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26</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Размер обеспечения исполнения контракта, гарантийных обязательств</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i/>
                <w:color w:val="000000"/>
                <w:sz w:val="24"/>
                <w:szCs w:val="24"/>
              </w:rPr>
              <w:t>Размер обеспечения исполнения контракта - 5 % от начальной (максимальной) цены</w:t>
            </w:r>
            <w:r>
              <w:rPr>
                <w:rFonts w:ascii="PT Astra Serif" w:eastAsia="Times New Roman" w:hAnsi="PT Astra Serif" w:cs="Times New Roman"/>
                <w:i/>
                <w:color w:val="000000"/>
                <w:sz w:val="24"/>
                <w:szCs w:val="24"/>
              </w:rPr>
              <w:t xml:space="preserve"> контракта, что составляет 3 634</w:t>
            </w:r>
            <w:r w:rsidRPr="00862265">
              <w:rPr>
                <w:rFonts w:ascii="PT Astra Serif" w:eastAsia="Times New Roman" w:hAnsi="PT Astra Serif" w:cs="Times New Roman"/>
                <w:i/>
                <w:color w:val="000000"/>
                <w:sz w:val="24"/>
                <w:szCs w:val="24"/>
              </w:rPr>
              <w:t xml:space="preserve"> (три т</w:t>
            </w:r>
            <w:r>
              <w:rPr>
                <w:rFonts w:ascii="PT Astra Serif" w:eastAsia="Times New Roman" w:hAnsi="PT Astra Serif" w:cs="Times New Roman"/>
                <w:i/>
                <w:color w:val="000000"/>
                <w:sz w:val="24"/>
                <w:szCs w:val="24"/>
              </w:rPr>
              <w:t>ысячи шестьсот тридцать четыре</w:t>
            </w:r>
            <w:r w:rsidRPr="00862265">
              <w:rPr>
                <w:rFonts w:ascii="PT Astra Serif" w:eastAsia="Times New Roman" w:hAnsi="PT Astra Serif" w:cs="Times New Roman"/>
                <w:i/>
                <w:color w:val="000000"/>
                <w:sz w:val="24"/>
                <w:szCs w:val="24"/>
              </w:rPr>
              <w:t xml:space="preserve">) </w:t>
            </w:r>
            <w:r>
              <w:rPr>
                <w:rFonts w:ascii="PT Astra Serif" w:eastAsia="Times New Roman" w:hAnsi="PT Astra Serif" w:cs="Times New Roman"/>
                <w:i/>
                <w:color w:val="000000"/>
                <w:sz w:val="24"/>
                <w:szCs w:val="24"/>
              </w:rPr>
              <w:t>рубля 72 копей</w:t>
            </w:r>
            <w:r w:rsidRPr="00862265">
              <w:rPr>
                <w:rFonts w:ascii="PT Astra Serif" w:eastAsia="Times New Roman" w:hAnsi="PT Astra Serif" w:cs="Times New Roman"/>
                <w:i/>
                <w:color w:val="000000"/>
                <w:sz w:val="24"/>
                <w:szCs w:val="24"/>
              </w:rPr>
              <w:t>к</w:t>
            </w:r>
            <w:r>
              <w:rPr>
                <w:rFonts w:ascii="PT Astra Serif" w:eastAsia="Times New Roman" w:hAnsi="PT Astra Serif" w:cs="Times New Roman"/>
                <w:i/>
                <w:color w:val="000000"/>
                <w:sz w:val="24"/>
                <w:szCs w:val="24"/>
              </w:rPr>
              <w:t>и</w:t>
            </w:r>
            <w:r w:rsidRPr="00862265">
              <w:rPr>
                <w:rFonts w:ascii="PT Astra Serif" w:eastAsia="Times New Roman" w:hAnsi="PT Astra Serif" w:cs="Times New Roman"/>
                <w:i/>
                <w:color w:val="000000"/>
                <w:sz w:val="24"/>
                <w:szCs w:val="24"/>
              </w:rPr>
              <w:t>.</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Если участник закупки, с которым заключается контракт, предложил цену контракта, которая на 25 и более процентов ниже начальной (максимальной) цены контракта, либо предложена сумма цен единиц товара, работы, услуги, которая на 25 и более процентов ниже начальной суммы цен указанных единиц, контракт заключается только после предоставления таким участником обеспечения исполнения контракта в размере, указанном в части 1 статьи 37 Закона</w:t>
            </w:r>
            <w:proofErr w:type="gramEnd"/>
            <w:r w:rsidRPr="00862265">
              <w:rPr>
                <w:rFonts w:ascii="PT Astra Serif" w:eastAsia="Times New Roman" w:hAnsi="PT Astra Serif" w:cs="Times New Roman"/>
                <w:color w:val="000000"/>
                <w:sz w:val="24"/>
                <w:szCs w:val="24"/>
              </w:rPr>
              <w:t xml:space="preserve"> о контрактной системе, или информации, подтверждающей добросовестность такого участника в соответствии с частью 3 статьи 37 Закона о контрактной системе, с одновременным предоставлением таким участником обеспечения исполнения </w:t>
            </w:r>
            <w:r w:rsidRPr="00862265">
              <w:rPr>
                <w:rFonts w:ascii="PT Astra Serif" w:eastAsia="Times New Roman" w:hAnsi="PT Astra Serif" w:cs="Times New Roman"/>
                <w:color w:val="000000"/>
                <w:sz w:val="24"/>
                <w:szCs w:val="24"/>
              </w:rPr>
              <w:lastRenderedPageBreak/>
              <w:t>контракта в размере обеспечения исполнения контракта, указанном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27</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Порядок предоставления обеспечения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Участник закупки, с которым заключается контракт, может предоставить обеспечение исполнения контракта, гарантийных обязательств любым из двух способов: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1) внесение денежных средств на счет заказчика, на котором в соответствии с законодательством Российской Федерации учитываются операции со средствами, поступающими заказчику</w:t>
            </w:r>
          </w:p>
          <w:p w:rsidR="00103BDB" w:rsidRPr="00862265" w:rsidRDefault="00103BDB" w:rsidP="00C5397F">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Наименование заказчика:</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Получатель:</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proofErr w:type="spellStart"/>
            <w:r w:rsidRPr="00862265">
              <w:rPr>
                <w:rFonts w:ascii="PT Astra Serif" w:eastAsia="Times New Roman" w:hAnsi="PT Astra Serif" w:cs="Times New Roman"/>
                <w:color w:val="000000"/>
                <w:sz w:val="24"/>
                <w:szCs w:val="24"/>
              </w:rPr>
              <w:t>Депфин</w:t>
            </w:r>
            <w:proofErr w:type="spellEnd"/>
            <w:r w:rsidRPr="00862265">
              <w:rPr>
                <w:rFonts w:ascii="PT Astra Serif" w:eastAsia="Times New Roman" w:hAnsi="PT Astra Serif" w:cs="Times New Roman"/>
                <w:color w:val="000000"/>
                <w:sz w:val="24"/>
                <w:szCs w:val="24"/>
              </w:rPr>
              <w:t xml:space="preserve">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xml:space="preserve"> (Администрация города </w:t>
            </w:r>
            <w:proofErr w:type="spellStart"/>
            <w:r w:rsidRPr="00862265">
              <w:rPr>
                <w:rFonts w:ascii="PT Astra Serif" w:eastAsia="Times New Roman" w:hAnsi="PT Astra Serif" w:cs="Times New Roman"/>
                <w:color w:val="000000"/>
                <w:sz w:val="24"/>
                <w:szCs w:val="24"/>
              </w:rPr>
              <w:t>Югорска</w:t>
            </w:r>
            <w:proofErr w:type="spellEnd"/>
            <w:r w:rsidRPr="00862265">
              <w:rPr>
                <w:rFonts w:ascii="PT Astra Serif" w:eastAsia="Times New Roman" w:hAnsi="PT Astra Serif" w:cs="Times New Roman"/>
                <w:color w:val="000000"/>
                <w:sz w:val="24"/>
                <w:szCs w:val="24"/>
              </w:rPr>
              <w:t>, 070190000), ИНН 8622002368, КПП 862201001.</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Банк:</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РКЦ Ханты-Мансийск г. Ханты-Мансийск//УФК по Ханты-Мансийскому автономному округу-Югре г. Ханты-Мансийск,  БИК 007162163,</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счет 40102810245370000007,</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казначейский счет получателя 03232643718870008700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КБК 0</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Назначение платежа: «Обеспечение исполнения муниципального контракта по аукциону в электронной форме № ___________ на поставку рамок».</w:t>
            </w:r>
          </w:p>
          <w:p w:rsidR="00103BDB" w:rsidRPr="00862265" w:rsidRDefault="00103BDB" w:rsidP="00C5397F">
            <w:pPr>
              <w:spacing w:after="0"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Факт внесения денежных средств на счет заказчика подтверждается платежным документом, на основании которого произведено перечисление средств;</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 предоставление независимой гарантии, соответствующей требованиям статьи 45 Закона о контрактной системе.</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Способ обеспечения исполнения контракта, гарантийных обязательств, срок действия независимой гарантии определяются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о контрактной системе.</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28</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Требования к обеспечению исполнения контракта, гарантийных обязательств (если требование обеспечения исполнения контракта, гарантийных обязательств установлено в соответствии со статьей 96 Закона о контрактной </w:t>
            </w:r>
            <w:r w:rsidRPr="00862265">
              <w:rPr>
                <w:rFonts w:ascii="PT Astra Serif" w:eastAsia="Times New Roman" w:hAnsi="PT Astra Serif" w:cs="Times New Roman"/>
                <w:color w:val="000000"/>
                <w:sz w:val="24"/>
                <w:szCs w:val="24"/>
              </w:rPr>
              <w:lastRenderedPageBreak/>
              <w:t>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1. Документы, подтверждающие предоставление обеспечения исполнения контракта (платежное поручение или копия такого платежного поручения либо независимая гарантия) в размере, который предусмотрен настоящим извещением, должны быть представлены заказчику одновременно с контрактом, подписанным участником закупки, с которым заключается контракт.</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2. </w:t>
            </w:r>
            <w:proofErr w:type="gramStart"/>
            <w:r w:rsidRPr="00862265">
              <w:rPr>
                <w:rFonts w:ascii="PT Astra Serif" w:eastAsia="Times New Roman" w:hAnsi="PT Astra Serif" w:cs="Times New Roman"/>
                <w:color w:val="000000"/>
                <w:sz w:val="24"/>
                <w:szCs w:val="24"/>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Закона о контрактной системе, освобождается от предоставления обеспечения исполнения контракта, в том </w:t>
            </w:r>
            <w:r w:rsidRPr="00862265">
              <w:rPr>
                <w:rFonts w:ascii="PT Astra Serif" w:eastAsia="Times New Roman" w:hAnsi="PT Astra Serif" w:cs="Times New Roman"/>
                <w:color w:val="000000"/>
                <w:sz w:val="24"/>
                <w:szCs w:val="24"/>
              </w:rPr>
              <w:lastRenderedPageBreak/>
              <w:t>числе с учетом положений статьи 37 Закона о контрактной системе, от обеспечения гарантийных обязательств в случае предоставления таким участником закупки информации, содержащейся в реестре контрактов, заключенных заказчиками</w:t>
            </w:r>
            <w:proofErr w:type="gramEnd"/>
            <w:r w:rsidRPr="00862265">
              <w:rPr>
                <w:rFonts w:ascii="PT Astra Serif" w:eastAsia="Times New Roman" w:hAnsi="PT Astra Serif" w:cs="Times New Roman"/>
                <w:color w:val="000000"/>
                <w:sz w:val="24"/>
                <w:szCs w:val="24"/>
              </w:rPr>
              <w:t xml:space="preserve">,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862265">
              <w:rPr>
                <w:rFonts w:ascii="PT Astra Serif" w:eastAsia="Times New Roman" w:hAnsi="PT Astra Serif" w:cs="Times New Roman"/>
                <w:color w:val="000000"/>
                <w:sz w:val="24"/>
                <w:szCs w:val="24"/>
              </w:rPr>
              <w:t>менее начальной</w:t>
            </w:r>
            <w:proofErr w:type="gramEnd"/>
            <w:r w:rsidRPr="00862265">
              <w:rPr>
                <w:rFonts w:ascii="PT Astra Serif" w:eastAsia="Times New Roman" w:hAnsi="PT Astra Serif" w:cs="Times New Roman"/>
                <w:color w:val="000000"/>
                <w:sz w:val="24"/>
                <w:szCs w:val="24"/>
              </w:rPr>
              <w:t xml:space="preserve"> (максимальной) цены контракта, указанной в извещении об осуществлении закупки</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lastRenderedPageBreak/>
              <w:t>29</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proofErr w:type="gramStart"/>
            <w:r w:rsidRPr="00862265">
              <w:rPr>
                <w:rFonts w:ascii="PT Astra Serif" w:eastAsia="Times New Roman" w:hAnsi="PT Astra Serif" w:cs="Times New Roman"/>
                <w:sz w:val="24"/>
                <w:szCs w:val="24"/>
              </w:rPr>
              <w:t>Информация о банковском сопровождении контракта в соответствии со статьей 35 Закона о контрактной системе, о казначейском сопровождении (если в соответствии с законодательством Российской Федерации расчеты по контракту или расчеты по контракту в части выплаты аванса подлежат казначейскому сопровождению</w:t>
            </w:r>
            <w:proofErr w:type="gramEnd"/>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30</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sz w:val="24"/>
                <w:szCs w:val="24"/>
              </w:rPr>
            </w:pPr>
            <w:r w:rsidRPr="00862265">
              <w:rPr>
                <w:rFonts w:ascii="PT Astra Serif" w:eastAsia="Times New Roman" w:hAnsi="PT Astra Serif" w:cs="Times New Roman"/>
                <w:sz w:val="24"/>
                <w:szCs w:val="24"/>
              </w:rPr>
              <w:t>Информация о возможности заказчика заключить контракты, указанные в части 10 статьи 34 Закона о контрактной системе, с несколькими участниками закупки с указанием количества указанных контрактов</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i/>
                <w:sz w:val="24"/>
                <w:szCs w:val="24"/>
                <w:u w:val="single"/>
              </w:rPr>
            </w:pPr>
            <w:r w:rsidRPr="00862265">
              <w:rPr>
                <w:rFonts w:ascii="PT Astra Serif" w:eastAsia="Times New Roman" w:hAnsi="PT Astra Serif" w:cs="Times New Roman"/>
                <w:i/>
                <w:sz w:val="24"/>
                <w:szCs w:val="24"/>
                <w:u w:val="single"/>
              </w:rPr>
              <w:t>Не установлено</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31</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Информация о возможности одностороннего отказа от исполнения контракта в соответствии со статьей 95 Закона о контрактной </w:t>
            </w:r>
            <w:r w:rsidRPr="00862265">
              <w:rPr>
                <w:rFonts w:ascii="PT Astra Serif" w:eastAsia="Times New Roman" w:hAnsi="PT Astra Serif" w:cs="Times New Roman"/>
                <w:color w:val="000000"/>
                <w:sz w:val="24"/>
                <w:szCs w:val="24"/>
              </w:rPr>
              <w:lastRenderedPageBreak/>
              <w:t>системе</w:t>
            </w:r>
          </w:p>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контрактом.</w:t>
            </w:r>
          </w:p>
          <w:p w:rsidR="00103BDB" w:rsidRPr="00862265" w:rsidRDefault="00103BDB" w:rsidP="00C5397F">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 xml:space="preserve">Поставщик (подрядчик, исполнитель) вправе принять </w:t>
            </w:r>
            <w:r w:rsidRPr="00862265">
              <w:rPr>
                <w:rFonts w:ascii="PT Astra Serif" w:eastAsia="Times New Roman" w:hAnsi="PT Astra Serif" w:cs="Times New Roman"/>
                <w:color w:val="000000"/>
                <w:sz w:val="24"/>
                <w:szCs w:val="24"/>
              </w:rPr>
              <w:lastRenderedPageBreak/>
              <w:t>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lastRenderedPageBreak/>
              <w:t>32</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и время окончания срока подачи заявок на участие в закупке</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до 10 часов 00 минут «</w:t>
            </w:r>
            <w:r w:rsidR="00B10E2B">
              <w:rPr>
                <w:rFonts w:ascii="PT Astra Serif" w:eastAsia="Times New Roman" w:hAnsi="PT Astra Serif" w:cs="Times New Roman"/>
                <w:color w:val="000000"/>
                <w:sz w:val="24"/>
                <w:szCs w:val="24"/>
              </w:rPr>
              <w:t>03</w:t>
            </w:r>
            <w:r w:rsidRPr="00862265">
              <w:rPr>
                <w:rFonts w:ascii="PT Astra Serif" w:eastAsia="Times New Roman" w:hAnsi="PT Astra Serif" w:cs="Times New Roman"/>
                <w:color w:val="000000"/>
                <w:sz w:val="24"/>
                <w:szCs w:val="24"/>
              </w:rPr>
              <w:t>»</w:t>
            </w:r>
            <w:r>
              <w:rPr>
                <w:rFonts w:ascii="PT Astra Serif" w:eastAsia="Times New Roman" w:hAnsi="PT Astra Serif" w:cs="Times New Roman"/>
                <w:color w:val="000000"/>
                <w:sz w:val="24"/>
                <w:szCs w:val="24"/>
              </w:rPr>
              <w:t xml:space="preserve"> </w:t>
            </w:r>
            <w:r w:rsidR="00B10E2B">
              <w:rPr>
                <w:rFonts w:ascii="PT Astra Serif" w:eastAsia="Times New Roman" w:hAnsi="PT Astra Serif" w:cs="Times New Roman"/>
                <w:color w:val="000000"/>
                <w:sz w:val="24"/>
                <w:szCs w:val="24"/>
              </w:rPr>
              <w:t>февраля</w:t>
            </w:r>
            <w:r>
              <w:rPr>
                <w:rFonts w:ascii="PT Astra Serif" w:eastAsia="Times New Roman" w:hAnsi="PT Astra Serif" w:cs="Times New Roman"/>
                <w:color w:val="000000"/>
                <w:sz w:val="24"/>
                <w:szCs w:val="24"/>
              </w:rPr>
              <w:t xml:space="preserve"> 2025</w:t>
            </w:r>
            <w:r w:rsidRPr="00862265">
              <w:rPr>
                <w:rFonts w:ascii="PT Astra Serif" w:eastAsia="Times New Roman" w:hAnsi="PT Astra Serif" w:cs="Times New Roman"/>
                <w:color w:val="000000"/>
                <w:sz w:val="24"/>
                <w:szCs w:val="24"/>
              </w:rPr>
              <w:t xml:space="preserve"> г.</w:t>
            </w:r>
          </w:p>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33</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проведения процедуры подачи предложений о цене контракта либо о сумме цен единиц товара, работы, услуги</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B10E2B">
            <w:pPr>
              <w:spacing w:before="100" w:after="100" w:line="240" w:lineRule="auto"/>
              <w:ind w:left="75" w:right="75"/>
              <w:jc w:val="both"/>
              <w:rPr>
                <w:rFonts w:ascii="PT Astra Serif" w:eastAsia="Times New Roman" w:hAnsi="PT Astra Serif" w:cs="Times New Roman"/>
                <w:i/>
                <w:color w:val="000000"/>
                <w:sz w:val="24"/>
                <w:szCs w:val="24"/>
              </w:rPr>
            </w:pPr>
            <w:r w:rsidRPr="00862265">
              <w:rPr>
                <w:rFonts w:ascii="PT Astra Serif" w:eastAsia="Times New Roman" w:hAnsi="PT Astra Serif" w:cs="Times New Roman"/>
                <w:color w:val="000000"/>
                <w:sz w:val="24"/>
                <w:szCs w:val="24"/>
              </w:rPr>
              <w:t>«</w:t>
            </w:r>
            <w:r w:rsidR="00B10E2B">
              <w:rPr>
                <w:rFonts w:ascii="PT Astra Serif" w:eastAsia="Times New Roman" w:hAnsi="PT Astra Serif" w:cs="Times New Roman"/>
                <w:color w:val="000000"/>
                <w:sz w:val="24"/>
                <w:szCs w:val="24"/>
              </w:rPr>
              <w:t>03</w:t>
            </w:r>
            <w:r w:rsidRPr="00862265">
              <w:rPr>
                <w:rFonts w:ascii="PT Astra Serif" w:eastAsia="Times New Roman" w:hAnsi="PT Astra Serif" w:cs="Times New Roman"/>
                <w:color w:val="000000"/>
                <w:sz w:val="24"/>
                <w:szCs w:val="24"/>
              </w:rPr>
              <w:t>»</w:t>
            </w:r>
            <w:r w:rsidR="00B10E2B">
              <w:rPr>
                <w:rFonts w:ascii="PT Astra Serif" w:eastAsia="Times New Roman" w:hAnsi="PT Astra Serif" w:cs="Times New Roman"/>
                <w:color w:val="000000"/>
                <w:sz w:val="24"/>
                <w:szCs w:val="24"/>
              </w:rPr>
              <w:t xml:space="preserve">  </w:t>
            </w:r>
            <w:r w:rsidR="00B10E2B">
              <w:rPr>
                <w:rFonts w:ascii="PT Astra Serif" w:eastAsia="Times New Roman" w:hAnsi="PT Astra Serif" w:cs="Times New Roman"/>
                <w:color w:val="000000"/>
                <w:sz w:val="24"/>
                <w:szCs w:val="24"/>
              </w:rPr>
              <w:t xml:space="preserve">февраля </w:t>
            </w:r>
            <w:r>
              <w:rPr>
                <w:rFonts w:ascii="PT Astra Serif" w:eastAsia="Times New Roman" w:hAnsi="PT Astra Serif" w:cs="Times New Roman"/>
                <w:color w:val="000000"/>
                <w:sz w:val="24"/>
                <w:szCs w:val="24"/>
              </w:rPr>
              <w:t>2025</w:t>
            </w:r>
            <w:r w:rsidRPr="00862265">
              <w:rPr>
                <w:rFonts w:ascii="PT Astra Serif" w:eastAsia="Times New Roman" w:hAnsi="PT Astra Serif" w:cs="Times New Roman"/>
                <w:color w:val="000000"/>
                <w:sz w:val="24"/>
                <w:szCs w:val="24"/>
              </w:rPr>
              <w:t xml:space="preserve">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34</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Дата подведения итогов определения поставщика (подрядчика, исполнителя)</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103BDB" w:rsidRPr="00862265" w:rsidRDefault="00103BDB" w:rsidP="00B10E2B">
            <w:pPr>
              <w:spacing w:before="100" w:after="100" w:line="240" w:lineRule="auto"/>
              <w:ind w:left="75" w:right="75"/>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w:t>
            </w:r>
            <w:r w:rsidR="00B10E2B">
              <w:rPr>
                <w:rFonts w:ascii="PT Astra Serif" w:eastAsia="Times New Roman" w:hAnsi="PT Astra Serif" w:cs="Times New Roman"/>
                <w:color w:val="000000"/>
                <w:sz w:val="24"/>
                <w:szCs w:val="24"/>
              </w:rPr>
              <w:t>04</w:t>
            </w:r>
            <w:r w:rsidRPr="00862265">
              <w:rPr>
                <w:rFonts w:ascii="PT Astra Serif" w:eastAsia="Times New Roman" w:hAnsi="PT Astra Serif" w:cs="Times New Roman"/>
                <w:color w:val="000000"/>
                <w:sz w:val="24"/>
                <w:szCs w:val="24"/>
              </w:rPr>
              <w:t>»</w:t>
            </w:r>
            <w:r w:rsidR="00764D53">
              <w:rPr>
                <w:rFonts w:ascii="PT Astra Serif" w:eastAsia="Times New Roman" w:hAnsi="PT Astra Serif" w:cs="Times New Roman"/>
                <w:color w:val="000000"/>
                <w:sz w:val="24"/>
                <w:szCs w:val="24"/>
              </w:rPr>
              <w:t xml:space="preserve"> </w:t>
            </w:r>
            <w:bookmarkStart w:id="0" w:name="_GoBack"/>
            <w:bookmarkEnd w:id="0"/>
            <w:r w:rsidR="00B10E2B">
              <w:rPr>
                <w:rFonts w:ascii="PT Astra Serif" w:eastAsia="Times New Roman" w:hAnsi="PT Astra Serif" w:cs="Times New Roman"/>
                <w:color w:val="000000"/>
                <w:sz w:val="24"/>
                <w:szCs w:val="24"/>
              </w:rPr>
              <w:t xml:space="preserve">февраля </w:t>
            </w:r>
            <w:r>
              <w:rPr>
                <w:rFonts w:ascii="PT Astra Serif" w:eastAsia="Times New Roman" w:hAnsi="PT Astra Serif" w:cs="Times New Roman"/>
                <w:color w:val="000000"/>
                <w:sz w:val="24"/>
                <w:szCs w:val="24"/>
              </w:rPr>
              <w:t>2025</w:t>
            </w:r>
            <w:r w:rsidRPr="00862265">
              <w:rPr>
                <w:rFonts w:ascii="PT Astra Serif" w:eastAsia="Times New Roman" w:hAnsi="PT Astra Serif" w:cs="Times New Roman"/>
                <w:color w:val="000000"/>
                <w:sz w:val="24"/>
                <w:szCs w:val="24"/>
              </w:rPr>
              <w:t xml:space="preserve"> г.</w:t>
            </w:r>
          </w:p>
        </w:tc>
      </w:tr>
      <w:tr w:rsidR="00103BDB" w:rsidRPr="00862265" w:rsidTr="00C5397F">
        <w:tc>
          <w:tcPr>
            <w:tcW w:w="1276" w:type="dxa"/>
            <w:tcBorders>
              <w:top w:val="single" w:sz="6" w:space="0" w:color="000000"/>
              <w:left w:val="single" w:sz="6" w:space="0" w:color="000000"/>
              <w:bottom w:val="single" w:sz="6" w:space="0" w:color="000000"/>
              <w:right w:val="single" w:sz="6" w:space="0" w:color="000000"/>
            </w:tcBorders>
            <w:vAlign w:val="center"/>
          </w:tcPr>
          <w:p w:rsidR="00103BDB" w:rsidRPr="00862265" w:rsidRDefault="00103BDB" w:rsidP="00C5397F">
            <w:pPr>
              <w:spacing w:before="100" w:beforeAutospacing="1" w:after="100" w:afterAutospacing="1" w:line="240" w:lineRule="auto"/>
              <w:jc w:val="center"/>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35</w:t>
            </w:r>
          </w:p>
        </w:tc>
        <w:tc>
          <w:tcPr>
            <w:tcW w:w="2693"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beforeAutospacing="1" w:after="100" w:afterAutospacing="1" w:line="240" w:lineRule="auto"/>
              <w:rPr>
                <w:rFonts w:ascii="PT Astra Serif" w:eastAsia="Times New Roman" w:hAnsi="PT Astra Serif" w:cs="Times New Roman"/>
                <w:color w:val="000000"/>
                <w:sz w:val="24"/>
                <w:szCs w:val="24"/>
              </w:rPr>
            </w:pPr>
            <w:r w:rsidRPr="00862265">
              <w:rPr>
                <w:rFonts w:ascii="PT Astra Serif" w:eastAsia="Times New Roman" w:hAnsi="PT Astra Serif" w:cs="Times New Roman"/>
                <w:color w:val="000000"/>
                <w:sz w:val="24"/>
                <w:szCs w:val="24"/>
              </w:rPr>
              <w:t>Предупреждение об административной и уголовной ответственности за нарушение требований антимонопольного законодательства</w:t>
            </w:r>
          </w:p>
        </w:tc>
        <w:tc>
          <w:tcPr>
            <w:tcW w:w="652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103BDB" w:rsidRPr="00862265" w:rsidRDefault="00103BDB" w:rsidP="00C5397F">
            <w:pPr>
              <w:spacing w:before="100" w:after="100" w:line="240" w:lineRule="auto"/>
              <w:ind w:left="75" w:right="75"/>
              <w:jc w:val="both"/>
              <w:rPr>
                <w:rFonts w:ascii="PT Astra Serif" w:eastAsia="Times New Roman" w:hAnsi="PT Astra Serif" w:cs="Times New Roman"/>
                <w:color w:val="000000"/>
                <w:sz w:val="24"/>
                <w:szCs w:val="24"/>
              </w:rPr>
            </w:pPr>
            <w:proofErr w:type="gramStart"/>
            <w:r w:rsidRPr="00862265">
              <w:rPr>
                <w:rFonts w:ascii="PT Astra Serif" w:eastAsia="Times New Roman" w:hAnsi="PT Astra Serif" w:cs="Times New Roman"/>
                <w:color w:val="000000"/>
                <w:sz w:val="24"/>
                <w:szCs w:val="24"/>
              </w:rPr>
              <w:t>Предупреждаем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tc>
      </w:tr>
    </w:tbl>
    <w:p w:rsidR="00103BDB" w:rsidRPr="00862265" w:rsidRDefault="00103BDB" w:rsidP="00103BDB">
      <w:pPr>
        <w:spacing w:before="100" w:beforeAutospacing="1" w:after="100" w:afterAutospacing="1" w:line="240" w:lineRule="auto"/>
        <w:jc w:val="both"/>
        <w:rPr>
          <w:rFonts w:ascii="PT Astra Serif" w:eastAsia="Times New Roman" w:hAnsi="PT Astra Serif" w:cs="Times New Roman"/>
          <w:b/>
          <w:bCs/>
          <w:color w:val="000000"/>
          <w:sz w:val="24"/>
          <w:szCs w:val="24"/>
        </w:rPr>
      </w:pPr>
      <w:r w:rsidRPr="00862265">
        <w:rPr>
          <w:rFonts w:ascii="PT Astra Serif" w:eastAsia="Times New Roman" w:hAnsi="PT Astra Serif" w:cs="Times New Roman"/>
          <w:b/>
          <w:bCs/>
          <w:color w:val="000000"/>
          <w:sz w:val="24"/>
          <w:szCs w:val="24"/>
        </w:rPr>
        <w:t>Приложения:</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1. Описание объекта закупки (Техническое задание).</w:t>
      </w:r>
    </w:p>
    <w:p w:rsidR="00103BDB" w:rsidRPr="00862265" w:rsidRDefault="00103BDB" w:rsidP="00103BDB">
      <w:pPr>
        <w:spacing w:after="0" w:line="240" w:lineRule="auto"/>
        <w:jc w:val="both"/>
        <w:rPr>
          <w:rFonts w:ascii="PT Astra Serif" w:eastAsia="Times New Roman" w:hAnsi="PT Astra Serif" w:cs="Times New Roman"/>
          <w:bCs/>
          <w:color w:val="000000"/>
          <w:sz w:val="24"/>
          <w:szCs w:val="24"/>
        </w:rPr>
      </w:pPr>
      <w:r w:rsidRPr="00862265">
        <w:rPr>
          <w:rFonts w:ascii="PT Astra Serif" w:eastAsia="Times New Roman" w:hAnsi="PT Astra Serif" w:cs="Times New Roman"/>
          <w:bCs/>
          <w:color w:val="000000"/>
          <w:sz w:val="24"/>
          <w:szCs w:val="24"/>
        </w:rPr>
        <w:t>Приложение 2. Обоснование начальной (максимальной) цены контракта.</w:t>
      </w:r>
    </w:p>
    <w:p w:rsidR="00103BDB" w:rsidRPr="00862265" w:rsidRDefault="00103BDB" w:rsidP="00103BDB">
      <w:pPr>
        <w:spacing w:after="0"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3. Требования к содержанию, составу заявки на участие в закупке в соответствии с Законом о контрактной системе и инструкция по ее заполнению.</w:t>
      </w:r>
    </w:p>
    <w:tbl>
      <w:tblPr>
        <w:tblW w:w="0" w:type="auto"/>
        <w:tblCellMar>
          <w:top w:w="15" w:type="dxa"/>
          <w:left w:w="15" w:type="dxa"/>
          <w:bottom w:w="15" w:type="dxa"/>
          <w:right w:w="15" w:type="dxa"/>
        </w:tblCellMar>
        <w:tblLook w:val="0600" w:firstRow="0" w:lastRow="0" w:firstColumn="0" w:lastColumn="0" w:noHBand="1" w:noVBand="1"/>
      </w:tblPr>
      <w:tblGrid>
        <w:gridCol w:w="3634"/>
        <w:gridCol w:w="156"/>
        <w:gridCol w:w="156"/>
        <w:gridCol w:w="156"/>
      </w:tblGrid>
      <w:tr w:rsidR="00103BDB" w:rsidRPr="00862265" w:rsidTr="00C5397F">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jc w:val="both"/>
              <w:rPr>
                <w:rFonts w:ascii="PT Astra Serif" w:eastAsia="Times New Roman" w:hAnsi="PT Astra Serif" w:cs="Times New Roman"/>
                <w:color w:val="000000"/>
                <w:sz w:val="24"/>
                <w:szCs w:val="24"/>
              </w:rPr>
            </w:pPr>
            <w:r w:rsidRPr="00862265">
              <w:rPr>
                <w:rFonts w:ascii="PT Astra Serif" w:eastAsia="Times New Roman" w:hAnsi="PT Astra Serif" w:cs="Times New Roman"/>
                <w:bCs/>
                <w:color w:val="000000"/>
                <w:sz w:val="24"/>
                <w:szCs w:val="24"/>
              </w:rPr>
              <w:t>Приложение 4. Проект контракта.</w:t>
            </w: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c>
          <w:tcPr>
            <w:tcW w:w="0" w:type="auto"/>
            <w:tcMar>
              <w:top w:w="75" w:type="dxa"/>
              <w:left w:w="75" w:type="dxa"/>
              <w:bottom w:w="75" w:type="dxa"/>
              <w:right w:w="75" w:type="dxa"/>
            </w:tcMar>
            <w:vAlign w:val="center"/>
          </w:tcPr>
          <w:p w:rsidR="00103BDB" w:rsidRPr="00862265" w:rsidRDefault="00103BDB" w:rsidP="00C5397F">
            <w:pPr>
              <w:spacing w:before="100" w:beforeAutospacing="1" w:after="100" w:afterAutospacing="1" w:line="240" w:lineRule="auto"/>
              <w:ind w:left="75" w:right="75"/>
              <w:jc w:val="both"/>
              <w:rPr>
                <w:rFonts w:ascii="PT Astra Serif" w:eastAsia="Times New Roman" w:hAnsi="PT Astra Serif" w:cs="Times New Roman"/>
                <w:color w:val="000000"/>
                <w:sz w:val="24"/>
                <w:szCs w:val="24"/>
              </w:rPr>
            </w:pPr>
          </w:p>
        </w:tc>
      </w:tr>
    </w:tbl>
    <w:p w:rsidR="00103BDB" w:rsidRPr="00862265" w:rsidRDefault="00103BDB" w:rsidP="00103BDB">
      <w:pPr>
        <w:spacing w:before="100" w:beforeAutospacing="1" w:after="100" w:afterAutospacing="1" w:line="240" w:lineRule="auto"/>
        <w:rPr>
          <w:rFonts w:ascii="PT Astra Serif" w:eastAsia="Times New Roman" w:hAnsi="PT Astra Serif" w:cs="Times New Roman"/>
          <w:sz w:val="24"/>
          <w:szCs w:val="24"/>
        </w:rPr>
      </w:pPr>
    </w:p>
    <w:p w:rsidR="00103BDB" w:rsidRDefault="00103BDB" w:rsidP="00103BDB"/>
    <w:p w:rsidR="00103BDB" w:rsidRDefault="00103BDB"/>
    <w:sectPr w:rsidR="00103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39A3"/>
    <w:rsid w:val="00103BDB"/>
    <w:rsid w:val="00240DDA"/>
    <w:rsid w:val="003A39A3"/>
    <w:rsid w:val="00764D53"/>
    <w:rsid w:val="009835CD"/>
    <w:rsid w:val="00B10E2B"/>
    <w:rsid w:val="00F61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9835CD"/>
    <w:pPr>
      <w:spacing w:before="100" w:beforeAutospacing="1" w:after="100" w:afterAutospacing="1" w:line="240" w:lineRule="auto"/>
      <w:outlineLvl w:val="1"/>
    </w:pPr>
    <w:rPr>
      <w:rFonts w:ascii="Times New Roman" w:eastAsiaTheme="minorEastAsia"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03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03BDB"/>
    <w:rPr>
      <w:rFonts w:ascii="Tahoma" w:hAnsi="Tahoma" w:cs="Tahoma"/>
      <w:sz w:val="16"/>
      <w:szCs w:val="16"/>
    </w:rPr>
  </w:style>
  <w:style w:type="character" w:customStyle="1" w:styleId="20">
    <w:name w:val="Заголовок 2 Знак"/>
    <w:basedOn w:val="a0"/>
    <w:link w:val="2"/>
    <w:uiPriority w:val="9"/>
    <w:rsid w:val="009835CD"/>
    <w:rPr>
      <w:rFonts w:ascii="Times New Roman" w:eastAsiaTheme="minorEastAsia"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11</Pages>
  <Words>3065</Words>
  <Characters>17477</Characters>
  <Application>Microsoft Office Word</Application>
  <DocSecurity>0</DocSecurity>
  <Lines>145</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Татьяна Сергеевна</dc:creator>
  <cp:lastModifiedBy>Захарова Наталья Борисовна</cp:lastModifiedBy>
  <cp:revision>5</cp:revision>
  <dcterms:created xsi:type="dcterms:W3CDTF">2025-01-21T11:02:00Z</dcterms:created>
  <dcterms:modified xsi:type="dcterms:W3CDTF">2025-01-24T04:51:00Z</dcterms:modified>
</cp:coreProperties>
</file>